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530A8" w14:textId="77777777" w:rsidR="00100680" w:rsidRPr="006A7CE0" w:rsidRDefault="00100680" w:rsidP="00100680">
      <w:pPr>
        <w:pStyle w:val="a5"/>
        <w:jc w:val="right"/>
        <w:rPr>
          <w:rFonts w:ascii="Constantia" w:hAnsi="Constantia" w:cs="Calibri"/>
          <w:b/>
          <w:i/>
          <w:iCs/>
        </w:rPr>
      </w:pPr>
      <w:r>
        <w:rPr>
          <w:rFonts w:ascii="Constantia" w:hAnsi="Constantia" w:cs="Calibri"/>
          <w:b/>
          <w:i/>
          <w:iCs/>
          <w:noProof/>
          <w:sz w:val="52"/>
          <w:szCs w:val="52"/>
        </w:rPr>
        <w:drawing>
          <wp:anchor distT="0" distB="0" distL="114300" distR="114300" simplePos="0" relativeHeight="251668992" behindDoc="0" locked="0" layoutInCell="1" allowOverlap="1" wp14:anchorId="6B66CB1C" wp14:editId="618AD4AD">
            <wp:simplePos x="0" y="0"/>
            <wp:positionH relativeFrom="column">
              <wp:posOffset>-205740</wp:posOffset>
            </wp:positionH>
            <wp:positionV relativeFrom="paragraph">
              <wp:posOffset>2540</wp:posOffset>
            </wp:positionV>
            <wp:extent cx="1095375" cy="10953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4">
                          <a:shade val="45000"/>
                          <a:satMod val="135000"/>
                        </a:schemeClr>
                        <a:prstClr val="white"/>
                      </a:duotone>
                      <a:extLst>
                        <a:ext uri="{BEBA8EAE-BF5A-486C-A8C5-ECC9F3942E4B}">
                          <a14:imgProps xmlns:a14="http://schemas.microsoft.com/office/drawing/2010/main">
                            <a14:imgLayer r:embed="rId9">
                              <a14:imgEffect>
                                <a14:artisticPlasticWrap/>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C0A">
        <w:rPr>
          <w:rFonts w:ascii="Constantia" w:hAnsi="Constantia" w:cs="Calibri"/>
          <w:b/>
          <w:i/>
          <w:iCs/>
          <w:noProof/>
          <w:sz w:val="52"/>
          <w:szCs w:val="52"/>
        </w:rPr>
        <w:drawing>
          <wp:anchor distT="0" distB="0" distL="114300" distR="114300" simplePos="0" relativeHeight="251667968" behindDoc="1" locked="0" layoutInCell="1" allowOverlap="1" wp14:anchorId="260DD315" wp14:editId="7B67851F">
            <wp:simplePos x="0" y="0"/>
            <wp:positionH relativeFrom="column">
              <wp:posOffset>5680710</wp:posOffset>
            </wp:positionH>
            <wp:positionV relativeFrom="paragraph">
              <wp:posOffset>109855</wp:posOffset>
            </wp:positionV>
            <wp:extent cx="781050" cy="7810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nstantia" w:hAnsi="Constantia" w:cs="Calibri"/>
          <w:b/>
          <w:i/>
          <w:iCs/>
          <w:sz w:val="52"/>
          <w:szCs w:val="52"/>
        </w:rPr>
        <w:t xml:space="preserve"> </w:t>
      </w:r>
    </w:p>
    <w:p w14:paraId="7EA86735" w14:textId="77777777" w:rsidR="00100680" w:rsidRPr="00A9151A" w:rsidRDefault="00100680" w:rsidP="00100680">
      <w:pPr>
        <w:pStyle w:val="a5"/>
        <w:jc w:val="right"/>
        <w:rPr>
          <w:rFonts w:ascii="Constantia" w:hAnsi="Constantia"/>
          <w:b/>
          <w:i/>
          <w:iCs/>
          <w:color w:val="8064A2" w:themeColor="accent4"/>
          <w:sz w:val="44"/>
          <w:szCs w:val="44"/>
          <w:lang w:val="hu-HU"/>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9151A">
        <w:rPr>
          <w:rFonts w:ascii="Constantia" w:hAnsi="Constantia" w:cs="Calibri"/>
          <w:b/>
          <w:i/>
          <w:iCs/>
          <w:color w:val="8064A2" w:themeColor="accent4"/>
          <w:sz w:val="44"/>
          <w:szCs w:val="44"/>
          <w:lang w:val="hu-HU"/>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ТЕМПЕРИ</w:t>
      </w:r>
      <w:r w:rsidRPr="00A9151A">
        <w:rPr>
          <w:rFonts w:ascii="Constantia" w:hAnsi="Constantia"/>
          <w:b/>
          <w:i/>
          <w:iCs/>
          <w:color w:val="8064A2" w:themeColor="accent4"/>
          <w:sz w:val="44"/>
          <w:szCs w:val="44"/>
          <w:lang w:val="hu-HU"/>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A9151A">
        <w:rPr>
          <w:rFonts w:ascii="Constantia" w:hAnsi="Constantia" w:cs="Calibri"/>
          <w:b/>
          <w:i/>
          <w:iCs/>
          <w:color w:val="8064A2" w:themeColor="accent4"/>
          <w:sz w:val="44"/>
          <w:szCs w:val="44"/>
          <w:lang w:val="hu-HU"/>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ЛОДЖИСТИКС</w:t>
      </w:r>
      <w:r w:rsidRPr="00A9151A">
        <w:rPr>
          <w:rFonts w:ascii="Constantia" w:hAnsi="Constantia"/>
          <w:b/>
          <w:i/>
          <w:iCs/>
          <w:color w:val="8064A2" w:themeColor="accent4"/>
          <w:sz w:val="44"/>
          <w:szCs w:val="44"/>
          <w:lang w:val="hu-HU"/>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A9151A">
        <w:rPr>
          <w:rFonts w:ascii="Constantia" w:hAnsi="Constantia" w:cs="Calibri"/>
          <w:b/>
          <w:i/>
          <w:iCs/>
          <w:color w:val="8064A2" w:themeColor="accent4"/>
          <w:sz w:val="44"/>
          <w:szCs w:val="44"/>
          <w:lang w:val="hu-HU"/>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ЕООД   </w:t>
      </w:r>
    </w:p>
    <w:p w14:paraId="1D8C55B7" w14:textId="77777777" w:rsidR="00100680" w:rsidRDefault="00100680" w:rsidP="00100680">
      <w:pPr>
        <w:pStyle w:val="a5"/>
        <w:jc w:val="right"/>
        <w:rPr>
          <w:rFonts w:ascii="Constantia" w:hAnsi="Constantia"/>
          <w:b/>
          <w:i/>
          <w:iCs/>
          <w:color w:val="8064A2" w:themeColor="accent4"/>
          <w:sz w:val="44"/>
          <w:szCs w:val="44"/>
          <w:lang w:val="hu-HU"/>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9151A">
        <w:rPr>
          <w:rFonts w:ascii="Constantia" w:hAnsi="Constantia"/>
          <w:b/>
          <w:i/>
          <w:iCs/>
          <w:color w:val="8064A2" w:themeColor="accent4"/>
          <w:sz w:val="44"/>
          <w:szCs w:val="44"/>
          <w:lang w:val="hu-HU"/>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TEMPERI LOGISTICS LTD</w:t>
      </w:r>
    </w:p>
    <w:p w14:paraId="2BC111E4" w14:textId="77777777" w:rsidR="00100680" w:rsidRPr="00E84A38" w:rsidRDefault="00100680" w:rsidP="00100680">
      <w:pPr>
        <w:pStyle w:val="a5"/>
        <w:rPr>
          <w:rFonts w:ascii="Tahoma" w:hAnsi="Tahoma" w:cs="Tahoma"/>
          <w:noProof/>
          <w:color w:val="000000" w:themeColor="text1"/>
        </w:rPr>
      </w:pPr>
    </w:p>
    <w:p w14:paraId="28D82B73" w14:textId="77777777" w:rsidR="00100680" w:rsidRPr="00100680" w:rsidRDefault="00100680" w:rsidP="00100680">
      <w:pPr>
        <w:pStyle w:val="a5"/>
        <w:ind w:firstLine="708"/>
        <w:rPr>
          <w:rFonts w:ascii="Tahoma" w:hAnsi="Tahoma" w:cs="Tahoma"/>
          <w:b/>
          <w:bCs/>
          <w:noProof/>
          <w:color w:val="7030A0"/>
          <w:lang w:val="ru-RU"/>
        </w:rPr>
      </w:pPr>
      <w:r w:rsidRPr="00100680">
        <w:rPr>
          <w:rFonts w:ascii="Tahoma" w:hAnsi="Tahoma" w:cs="Tahoma"/>
          <w:b/>
          <w:bCs/>
          <w:noProof/>
          <w:color w:val="7030A0"/>
          <w:lang w:val="ru-RU"/>
        </w:rPr>
        <w:t>Член на Тьрговско-Промышлена Палата Стара Загора</w:t>
      </w:r>
    </w:p>
    <w:p w14:paraId="0807A988" w14:textId="77777777" w:rsidR="00100680" w:rsidRPr="00391C9D" w:rsidRDefault="00100680" w:rsidP="00100680">
      <w:pPr>
        <w:pStyle w:val="a5"/>
        <w:ind w:firstLine="708"/>
        <w:rPr>
          <w:rFonts w:ascii="Tahoma" w:hAnsi="Tahoma" w:cs="Tahoma"/>
          <w:b/>
          <w:bCs/>
          <w:color w:val="7030A0"/>
          <w:lang w:val="en-US"/>
        </w:rPr>
      </w:pPr>
      <w:r w:rsidRPr="00391C9D">
        <w:rPr>
          <w:rFonts w:ascii="Tahoma" w:hAnsi="Tahoma" w:cs="Tahoma"/>
          <w:b/>
          <w:bCs/>
          <w:color w:val="7030A0"/>
          <w:lang w:val="hu-HU"/>
        </w:rPr>
        <w:t>Chamber of Commerce and Industry</w:t>
      </w:r>
      <w:r w:rsidRPr="00391C9D">
        <w:rPr>
          <w:rFonts w:ascii="Tahoma" w:hAnsi="Tahoma" w:cs="Tahoma"/>
          <w:b/>
          <w:bCs/>
          <w:noProof/>
          <w:color w:val="7030A0"/>
        </w:rPr>
        <mc:AlternateContent>
          <mc:Choice Requires="wps">
            <w:drawing>
              <wp:anchor distT="0" distB="0" distL="114300" distR="114300" simplePos="0" relativeHeight="251666944" behindDoc="0" locked="0" layoutInCell="1" allowOverlap="1" wp14:anchorId="4D6AF4D1" wp14:editId="1B3EC7D3">
                <wp:simplePos x="0" y="0"/>
                <wp:positionH relativeFrom="column">
                  <wp:posOffset>-386715</wp:posOffset>
                </wp:positionH>
                <wp:positionV relativeFrom="paragraph">
                  <wp:posOffset>216535</wp:posOffset>
                </wp:positionV>
                <wp:extent cx="6953250" cy="45719"/>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6953250" cy="45719"/>
                        </a:xfrm>
                        <a:prstGeom prst="re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4B7CC" id="Прямоугольник 2" o:spid="_x0000_s1026" style="position:absolute;margin-left:-30.45pt;margin-top:17.05pt;width:547.5pt;height:3.6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" fillcolor="#55416d [2151]" stroked="f">
                <v:fill color2="#b2a1c7 [1943]" rotate="t" angle="180" colors="0 #56426e;31457f #8469a5;1 #b3a2c7" focus="100%" type="gradient"/>
              </v:rect>
            </w:pict>
          </mc:Fallback>
        </mc:AlternateContent>
      </w:r>
      <w:r w:rsidRPr="00391C9D">
        <w:rPr>
          <w:rFonts w:ascii="Tahoma" w:hAnsi="Tahoma" w:cs="Tahoma"/>
          <w:b/>
          <w:bCs/>
          <w:color w:val="7030A0"/>
          <w:lang w:val="en-US"/>
        </w:rPr>
        <w:t xml:space="preserve"> </w:t>
      </w:r>
      <w:proofErr w:type="spellStart"/>
      <w:r w:rsidRPr="00391C9D">
        <w:rPr>
          <w:rFonts w:ascii="Tahoma" w:hAnsi="Tahoma" w:cs="Tahoma"/>
          <w:b/>
          <w:bCs/>
          <w:color w:val="7030A0"/>
          <w:lang w:val="en-US"/>
        </w:rPr>
        <w:t>Stara</w:t>
      </w:r>
      <w:proofErr w:type="spellEnd"/>
      <w:r w:rsidRPr="00391C9D">
        <w:rPr>
          <w:rFonts w:ascii="Tahoma" w:hAnsi="Tahoma" w:cs="Tahoma"/>
          <w:b/>
          <w:bCs/>
          <w:color w:val="7030A0"/>
          <w:lang w:val="en-US"/>
        </w:rPr>
        <w:t xml:space="preserve"> Zagora member</w:t>
      </w:r>
    </w:p>
    <w:p w14:paraId="28FF7636" w14:textId="77777777" w:rsidR="00100680" w:rsidRPr="00B3113A" w:rsidRDefault="00100680" w:rsidP="00100680">
      <w:pPr>
        <w:pStyle w:val="a5"/>
        <w:rPr>
          <w:sz w:val="16"/>
          <w:szCs w:val="16"/>
          <w:lang w:val="en-US"/>
        </w:rPr>
      </w:pPr>
    </w:p>
    <w:p w14:paraId="26042CAE" w14:textId="77777777" w:rsidR="00B3113A" w:rsidRPr="00B3113A" w:rsidRDefault="00B3113A" w:rsidP="00B3113A">
      <w:pPr>
        <w:pStyle w:val="a5"/>
        <w:rPr>
          <w:sz w:val="16"/>
          <w:szCs w:val="16"/>
          <w:lang w:val="en-US"/>
        </w:rPr>
      </w:pPr>
    </w:p>
    <w:p w14:paraId="03995328" w14:textId="77777777" w:rsidR="00100680" w:rsidRPr="0028474B" w:rsidRDefault="00100680" w:rsidP="00100680">
      <w:pPr>
        <w:pStyle w:val="a5"/>
        <w:jc w:val="right"/>
        <w:rPr>
          <w:rFonts w:ascii="Tahoma" w:hAnsi="Tahoma" w:cs="Tahoma"/>
          <w:lang w:val="en-US"/>
        </w:rPr>
      </w:pPr>
      <w:r w:rsidRPr="00100680">
        <w:rPr>
          <w:rFonts w:ascii="Tahoma" w:hAnsi="Tahoma" w:cs="Tahoma"/>
          <w:lang w:val="ru-RU"/>
        </w:rPr>
        <w:t xml:space="preserve">9000 </w:t>
      </w:r>
      <w:proofErr w:type="spellStart"/>
      <w:r w:rsidRPr="00100680">
        <w:rPr>
          <w:rFonts w:ascii="Tahoma" w:hAnsi="Tahoma" w:cs="Tahoma"/>
          <w:lang w:val="ru-RU"/>
        </w:rPr>
        <w:t>България</w:t>
      </w:r>
      <w:proofErr w:type="spellEnd"/>
      <w:r w:rsidRPr="00100680">
        <w:rPr>
          <w:rFonts w:ascii="Tahoma" w:hAnsi="Tahoma" w:cs="Tahoma"/>
          <w:lang w:val="ru-RU"/>
        </w:rPr>
        <w:t xml:space="preserve">, гр. Варна, р-н </w:t>
      </w:r>
      <w:proofErr w:type="spellStart"/>
      <w:r w:rsidRPr="00100680">
        <w:rPr>
          <w:rFonts w:ascii="Tahoma" w:hAnsi="Tahoma" w:cs="Tahoma"/>
          <w:lang w:val="ru-RU"/>
        </w:rPr>
        <w:t>Младост</w:t>
      </w:r>
      <w:proofErr w:type="spellEnd"/>
      <w:r w:rsidRPr="00100680">
        <w:rPr>
          <w:rFonts w:ascii="Tahoma" w:hAnsi="Tahoma" w:cs="Tahoma"/>
          <w:lang w:val="ru-RU"/>
        </w:rPr>
        <w:t xml:space="preserve">, бул. </w:t>
      </w:r>
      <w:proofErr w:type="spellStart"/>
      <w:r w:rsidRPr="00F11BA8">
        <w:rPr>
          <w:rFonts w:ascii="Tahoma" w:hAnsi="Tahoma" w:cs="Tahoma"/>
        </w:rPr>
        <w:t>Сливница</w:t>
      </w:r>
      <w:proofErr w:type="spellEnd"/>
      <w:r w:rsidRPr="0028474B">
        <w:rPr>
          <w:rFonts w:ascii="Tahoma" w:hAnsi="Tahoma" w:cs="Tahoma"/>
          <w:lang w:val="en-US"/>
        </w:rPr>
        <w:t xml:space="preserve"> 166</w:t>
      </w:r>
      <w:r w:rsidRPr="00F11BA8">
        <w:rPr>
          <w:rFonts w:ascii="Tahoma" w:hAnsi="Tahoma" w:cs="Tahoma"/>
        </w:rPr>
        <w:t>А</w:t>
      </w:r>
      <w:r w:rsidRPr="0028474B">
        <w:rPr>
          <w:rFonts w:ascii="Tahoma" w:hAnsi="Tahoma" w:cs="Tahoma"/>
          <w:lang w:val="en-US"/>
        </w:rPr>
        <w:t xml:space="preserve">, </w:t>
      </w:r>
      <w:proofErr w:type="spellStart"/>
      <w:r w:rsidRPr="00F11BA8">
        <w:rPr>
          <w:rFonts w:ascii="Tahoma" w:hAnsi="Tahoma" w:cs="Tahoma"/>
        </w:rPr>
        <w:t>ет</w:t>
      </w:r>
      <w:proofErr w:type="spellEnd"/>
      <w:r w:rsidRPr="0028474B">
        <w:rPr>
          <w:rFonts w:ascii="Tahoma" w:hAnsi="Tahoma" w:cs="Tahoma"/>
          <w:lang w:val="en-US"/>
        </w:rPr>
        <w:t xml:space="preserve">. 6 </w:t>
      </w:r>
      <w:proofErr w:type="spellStart"/>
      <w:r w:rsidRPr="00F11BA8">
        <w:rPr>
          <w:rFonts w:ascii="Tahoma" w:hAnsi="Tahoma" w:cs="Tahoma"/>
        </w:rPr>
        <w:t>ап</w:t>
      </w:r>
      <w:proofErr w:type="spellEnd"/>
      <w:r w:rsidRPr="0028474B">
        <w:rPr>
          <w:rFonts w:ascii="Tahoma" w:hAnsi="Tahoma" w:cs="Tahoma"/>
          <w:lang w:val="en-US"/>
        </w:rPr>
        <w:t xml:space="preserve">. </w:t>
      </w:r>
      <w:proofErr w:type="spellStart"/>
      <w:r w:rsidRPr="00F11BA8">
        <w:rPr>
          <w:rFonts w:ascii="Tahoma" w:hAnsi="Tahoma" w:cs="Tahoma"/>
        </w:rPr>
        <w:t>офис</w:t>
      </w:r>
      <w:proofErr w:type="spellEnd"/>
      <w:r w:rsidRPr="0028474B">
        <w:rPr>
          <w:rFonts w:ascii="Tahoma" w:hAnsi="Tahoma" w:cs="Tahoma"/>
          <w:lang w:val="en-US"/>
        </w:rPr>
        <w:t xml:space="preserve"> 45</w:t>
      </w:r>
      <w:r w:rsidRPr="00905028">
        <w:rPr>
          <w:rFonts w:ascii="Tahoma" w:hAnsi="Tahoma" w:cs="Tahoma"/>
          <w:lang w:val="hu-HU"/>
        </w:rPr>
        <w:t xml:space="preserve">                                         </w:t>
      </w:r>
      <w:r w:rsidRPr="00F11BA8">
        <w:rPr>
          <w:rFonts w:ascii="Tahoma" w:hAnsi="Tahoma" w:cs="Tahoma"/>
          <w:lang w:val="hu-HU"/>
        </w:rPr>
        <w:t>9000, Bulgaria, Varna, district Mladost, 166A, Slivnitsa blv, fl. 6, off 45</w:t>
      </w:r>
      <w:r w:rsidRPr="0028474B">
        <w:rPr>
          <w:rFonts w:ascii="Tahoma" w:hAnsi="Tahoma" w:cs="Tahoma"/>
          <w:lang w:val="en-US"/>
        </w:rPr>
        <w:t xml:space="preserve"> </w:t>
      </w:r>
    </w:p>
    <w:tbl>
      <w:tblPr>
        <w:tblStyle w:val="a8"/>
        <w:tblpPr w:leftFromText="180" w:rightFromText="180" w:vertAnchor="text" w:horzAnchor="margin" w:tblpY="172"/>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45"/>
      </w:tblGrid>
      <w:tr w:rsidR="00100680" w:rsidRPr="009F3F24" w14:paraId="2C21023F" w14:textId="77777777" w:rsidTr="007D1200">
        <w:trPr>
          <w:trHeight w:val="641"/>
        </w:trPr>
        <w:tc>
          <w:tcPr>
            <w:tcW w:w="4928" w:type="dxa"/>
            <w:shd w:val="clear" w:color="auto" w:fill="auto"/>
          </w:tcPr>
          <w:p w14:paraId="2C17DD81" w14:textId="77777777" w:rsidR="00100680" w:rsidRPr="00C032B6" w:rsidRDefault="00100680" w:rsidP="007D1200">
            <w:pPr>
              <w:pStyle w:val="a5"/>
              <w:rPr>
                <w:rFonts w:ascii="Tahoma" w:hAnsi="Tahoma" w:cs="Tahoma"/>
                <w:bCs/>
                <w:lang w:val="en-US"/>
              </w:rPr>
            </w:pPr>
            <w:r w:rsidRPr="00C032B6">
              <w:rPr>
                <w:rFonts w:ascii="Tahoma" w:hAnsi="Tahoma" w:cs="Tahoma"/>
                <w:bCs/>
                <w:lang w:val="en-US"/>
              </w:rPr>
              <w:t xml:space="preserve">Company Registration </w:t>
            </w:r>
            <w:r w:rsidRPr="0038647A">
              <w:rPr>
                <w:rFonts w:ascii="Tahoma" w:hAnsi="Tahoma" w:cs="Tahoma"/>
                <w:bCs/>
                <w:lang w:val="en-US"/>
              </w:rPr>
              <w:t>№</w:t>
            </w:r>
            <w:r w:rsidRPr="00C032B6">
              <w:rPr>
                <w:rFonts w:ascii="Tahoma" w:hAnsi="Tahoma" w:cs="Tahoma"/>
                <w:bCs/>
                <w:lang w:val="en-US"/>
              </w:rPr>
              <w:t xml:space="preserve"> (ЕИК): 206032947</w:t>
            </w:r>
          </w:p>
          <w:p w14:paraId="2A996BA4" w14:textId="77777777" w:rsidR="00100680" w:rsidRPr="0085683D" w:rsidRDefault="00100680" w:rsidP="007D1200">
            <w:pPr>
              <w:pStyle w:val="a5"/>
              <w:rPr>
                <w:rFonts w:ascii="Tahoma" w:hAnsi="Tahoma" w:cs="Tahoma"/>
                <w:lang w:val="en-US"/>
              </w:rPr>
            </w:pPr>
            <w:r w:rsidRPr="00C032B6">
              <w:rPr>
                <w:rFonts w:ascii="Tahoma" w:hAnsi="Tahoma" w:cs="Tahoma"/>
                <w:bCs/>
                <w:lang w:val="en-US"/>
              </w:rPr>
              <w:t>VAT Number: BG206032947</w:t>
            </w:r>
          </w:p>
        </w:tc>
        <w:tc>
          <w:tcPr>
            <w:tcW w:w="5245" w:type="dxa"/>
            <w:tcBorders>
              <w:bottom w:val="nil"/>
            </w:tcBorders>
            <w:shd w:val="clear" w:color="auto" w:fill="auto"/>
          </w:tcPr>
          <w:p w14:paraId="5AC33AE2" w14:textId="77777777" w:rsidR="00100680" w:rsidRPr="00B048B8" w:rsidRDefault="00100680" w:rsidP="007D1200">
            <w:pPr>
              <w:autoSpaceDE w:val="0"/>
              <w:autoSpaceDN w:val="0"/>
              <w:adjustRightInd w:val="0"/>
              <w:ind w:left="34"/>
              <w:jc w:val="right"/>
              <w:rPr>
                <w:rStyle w:val="a6"/>
                <w:rFonts w:ascii="Tahoma" w:hAnsi="Tahoma" w:cs="Tahoma"/>
                <w:lang w:val="en-US"/>
              </w:rPr>
            </w:pPr>
            <w:r w:rsidRPr="00C032B6">
              <w:rPr>
                <w:rFonts w:ascii="Tahoma" w:hAnsi="Tahoma" w:cs="Tahoma"/>
                <w:lang w:val="en-US"/>
              </w:rPr>
              <w:t xml:space="preserve">Web page: </w:t>
            </w:r>
            <w:hyperlink r:id="rId11" w:history="1">
              <w:r w:rsidRPr="00C032B6">
                <w:rPr>
                  <w:rStyle w:val="a6"/>
                  <w:rFonts w:ascii="Tahoma" w:hAnsi="Tahoma" w:cs="Tahoma"/>
                  <w:lang w:val="en-US"/>
                </w:rPr>
                <w:t>www.</w:t>
              </w:r>
              <w:r w:rsidRPr="00B048B8">
                <w:rPr>
                  <w:rStyle w:val="a6"/>
                  <w:rFonts w:ascii="Tahoma" w:hAnsi="Tahoma" w:cs="Tahoma"/>
                  <w:lang w:val="en-US"/>
                </w:rPr>
                <w:t>temperi-logistics.com</w:t>
              </w:r>
            </w:hyperlink>
          </w:p>
          <w:p w14:paraId="0EB6D4CF" w14:textId="77777777" w:rsidR="00100680" w:rsidRDefault="00100680" w:rsidP="007D1200">
            <w:pPr>
              <w:autoSpaceDE w:val="0"/>
              <w:autoSpaceDN w:val="0"/>
              <w:adjustRightInd w:val="0"/>
              <w:jc w:val="right"/>
              <w:rPr>
                <w:rStyle w:val="a6"/>
                <w:rFonts w:ascii="Tahoma" w:hAnsi="Tahoma" w:cs="Tahoma"/>
                <w:lang w:val="en-US"/>
              </w:rPr>
            </w:pPr>
            <w:r w:rsidRPr="00C032B6">
              <w:rPr>
                <w:rFonts w:ascii="Tahoma" w:hAnsi="Tahoma" w:cs="Tahoma"/>
                <w:lang w:val="en-US"/>
              </w:rPr>
              <w:t xml:space="preserve">E-mail: </w:t>
            </w:r>
            <w:hyperlink r:id="rId12" w:history="1">
              <w:r w:rsidRPr="00C032B6">
                <w:rPr>
                  <w:rStyle w:val="a6"/>
                  <w:rFonts w:ascii="Tahoma" w:hAnsi="Tahoma" w:cs="Tahoma"/>
                  <w:lang w:val="en-US"/>
                </w:rPr>
                <w:t>temperilogistics.bg@gmail.com</w:t>
              </w:r>
            </w:hyperlink>
          </w:p>
          <w:p w14:paraId="170EC179" w14:textId="77777777" w:rsidR="00100680" w:rsidRPr="00BC0512" w:rsidRDefault="00100680" w:rsidP="007D1200">
            <w:pPr>
              <w:autoSpaceDE w:val="0"/>
              <w:autoSpaceDN w:val="0"/>
              <w:adjustRightInd w:val="0"/>
              <w:jc w:val="right"/>
              <w:rPr>
                <w:rFonts w:ascii="Tahoma" w:hAnsi="Tahoma" w:cs="Tahoma"/>
                <w:sz w:val="24"/>
                <w:szCs w:val="24"/>
                <w:lang w:val="en-US"/>
              </w:rPr>
            </w:pPr>
          </w:p>
        </w:tc>
      </w:tr>
    </w:tbl>
    <w:p w14:paraId="07DD84BE" w14:textId="5CC20F10" w:rsidR="00A10450" w:rsidRPr="00100680" w:rsidRDefault="00A10450" w:rsidP="00A10450">
      <w:pPr>
        <w:rPr>
          <w:b/>
          <w:lang w:val="en-US"/>
        </w:rPr>
      </w:pPr>
    </w:p>
    <w:p w14:paraId="7F7E7B29" w14:textId="633E3256" w:rsidR="001F54C9" w:rsidRDefault="00A10450" w:rsidP="001F54C9">
      <w:pPr>
        <w:jc w:val="center"/>
        <w:rPr>
          <w:b/>
          <w:sz w:val="28"/>
          <w:szCs w:val="28"/>
        </w:rPr>
      </w:pPr>
      <w:r w:rsidRPr="002E6FE6">
        <w:rPr>
          <w:b/>
          <w:sz w:val="28"/>
          <w:szCs w:val="28"/>
        </w:rPr>
        <w:t>Resolution of tax disputes in the European Union</w:t>
      </w:r>
    </w:p>
    <w:p w14:paraId="0775A248" w14:textId="7D5FE76D" w:rsidR="001F54C9" w:rsidRDefault="001F54C9" w:rsidP="001F54C9">
      <w:pPr>
        <w:jc w:val="center"/>
        <w:rPr>
          <w:b/>
          <w:sz w:val="28"/>
          <w:szCs w:val="28"/>
        </w:rPr>
      </w:pPr>
    </w:p>
    <w:p w14:paraId="70528F43" w14:textId="2DEDCC71" w:rsidR="00A10450" w:rsidRPr="00A10450" w:rsidRDefault="00100680" w:rsidP="00F74367">
      <w:pPr>
        <w:jc w:val="both"/>
      </w:pPr>
      <w:r w:rsidRPr="00100680">
        <w:rPr>
          <w:b/>
        </w:rPr>
        <w:t xml:space="preserve">The new tax dispute resolution rules apply from July 1, </w:t>
      </w:r>
      <w:proofErr w:type="gramStart"/>
      <w:r w:rsidRPr="00100680">
        <w:rPr>
          <w:b/>
        </w:rPr>
        <w:t>2019.</w:t>
      </w:r>
      <w:r w:rsidR="00A10450" w:rsidRPr="00A10450">
        <w:t>.</w:t>
      </w:r>
      <w:proofErr w:type="gramEnd"/>
      <w:r w:rsidR="00A10450" w:rsidRPr="00A10450">
        <w:t xml:space="preserve"> They are set out in </w:t>
      </w:r>
      <w:hyperlink r:id="rId13" w:history="1">
        <w:r w:rsidR="00A10450" w:rsidRPr="00A10450">
          <w:rPr>
            <w:rStyle w:val="a6"/>
          </w:rPr>
          <w:t xml:space="preserve">Council Directive 2017/1852 of October 10, 2017 </w:t>
        </w:r>
      </w:hyperlink>
      <w:r w:rsidR="00A10450" w:rsidRPr="00A10450">
        <w:t>and bring significant improvements to the resolution of tax disputes, as they ensure that businesses and citizens can resolve disputes related to the interpretation and faster and more efficient application of tax treaties.</w:t>
      </w:r>
    </w:p>
    <w:p w14:paraId="2A4EDDED" w14:textId="017C9415" w:rsidR="00A10450" w:rsidRPr="00A10450" w:rsidRDefault="00A10450" w:rsidP="00F74367">
      <w:pPr>
        <w:jc w:val="both"/>
      </w:pPr>
      <w:r w:rsidRPr="00A10450">
        <w:t>The new rules also cover issues related to double taxation, which occurs when two or more countries claim the right to tax the same income or profits of a company or individual. This can happen, for example, due to inconsistencies in national rules or different interpretations of transfer pricing rules in a bilateral tax treaty.</w:t>
      </w:r>
    </w:p>
    <w:p w14:paraId="2EA485D2" w14:textId="77777777" w:rsidR="00A10450" w:rsidRPr="00A10450" w:rsidRDefault="00A10450" w:rsidP="00F74367">
      <w:pPr>
        <w:jc w:val="both"/>
      </w:pPr>
      <w:r w:rsidRPr="00A10450">
        <w:t>Currently, there are about 900 double taxation disputes in the EU, and their value is estimated at 10.5 billion euros.</w:t>
      </w:r>
    </w:p>
    <w:p w14:paraId="78AE9005" w14:textId="6F52C651" w:rsidR="00A10450" w:rsidRPr="00A10450" w:rsidRDefault="00A10450" w:rsidP="00F74367">
      <w:pPr>
        <w:jc w:val="both"/>
      </w:pPr>
      <w:r w:rsidRPr="00A10450">
        <w:t>As such, taxpayers now enjoy greater legal certainty when it comes to finding solutions to their cross-border tax disputes. In particular, a broader range of cases is covered and Member States must adhere to strict deadlines in order to agree on a binding decision, which gives citizens and companies more timely solutions.</w:t>
      </w:r>
    </w:p>
    <w:p w14:paraId="1B6871BB" w14:textId="77777777" w:rsidR="00F00639" w:rsidRPr="00F00639" w:rsidRDefault="00F00639" w:rsidP="00F74367">
      <w:pPr>
        <w:jc w:val="both"/>
        <w:rPr>
          <w:b/>
        </w:rPr>
      </w:pPr>
      <w:r w:rsidRPr="00F00639">
        <w:rPr>
          <w:b/>
        </w:rPr>
        <w:t>Procedure</w:t>
      </w:r>
      <w:r w:rsidRPr="00F00639">
        <w:rPr>
          <w:b/>
          <w:lang w:val="en-US"/>
        </w:rPr>
        <w:t xml:space="preserve"> </w:t>
      </w:r>
      <w:r w:rsidRPr="00F00639">
        <w:rPr>
          <w:b/>
        </w:rPr>
        <w:t>mutual</w:t>
      </w:r>
      <w:r w:rsidRPr="00F00639">
        <w:rPr>
          <w:b/>
          <w:lang w:val="en-US"/>
        </w:rPr>
        <w:t xml:space="preserve"> </w:t>
      </w:r>
      <w:r w:rsidRPr="00F00639">
        <w:rPr>
          <w:b/>
        </w:rPr>
        <w:t>consent</w:t>
      </w:r>
    </w:p>
    <w:p w14:paraId="093ACE43" w14:textId="59CAC284" w:rsidR="00123836" w:rsidRDefault="00F00639" w:rsidP="00F74367">
      <w:pPr>
        <w:jc w:val="both"/>
      </w:pPr>
      <w:r w:rsidRPr="00F74367">
        <w:rPr>
          <w:b/>
          <w:lang w:val="en-US"/>
        </w:rPr>
        <w:t xml:space="preserve">Mutual </w:t>
      </w:r>
      <w:r w:rsidRPr="00F00639">
        <w:t>consent procedure</w:t>
      </w:r>
      <w:r w:rsidRPr="00F74367">
        <w:rPr>
          <w:b/>
        </w:rPr>
        <w:t xml:space="preserve"> </w:t>
      </w:r>
      <w:r w:rsidRPr="00F74367">
        <w:rPr>
          <w:b/>
          <w:lang w:val="en-US"/>
        </w:rPr>
        <w:t>agreement</w:t>
      </w:r>
      <w:r w:rsidRPr="00F74367">
        <w:rPr>
          <w:b/>
        </w:rPr>
        <w:t xml:space="preserve"> </w:t>
      </w:r>
      <w:r w:rsidRPr="00F74367">
        <w:rPr>
          <w:b/>
          <w:lang w:val="en-US"/>
        </w:rPr>
        <w:t xml:space="preserve">procedure </w:t>
      </w:r>
      <w:proofErr w:type="gramStart"/>
      <w:r w:rsidRPr="00F74367">
        <w:rPr>
          <w:b/>
        </w:rPr>
        <w:t xml:space="preserve">( </w:t>
      </w:r>
      <w:r w:rsidRPr="00F74367">
        <w:rPr>
          <w:b/>
          <w:lang w:val="en-US"/>
        </w:rPr>
        <w:t>MAP</w:t>
      </w:r>
      <w:proofErr w:type="gramEnd"/>
      <w:r w:rsidRPr="00F74367">
        <w:rPr>
          <w:b/>
          <w:lang w:val="en-US"/>
        </w:rPr>
        <w:t xml:space="preserve"> </w:t>
      </w:r>
      <w:r w:rsidRPr="00F74367">
        <w:rPr>
          <w:b/>
        </w:rPr>
        <w:t xml:space="preserve">) </w:t>
      </w:r>
      <w:r w:rsidRPr="00F00639">
        <w:t>) -</w:t>
      </w:r>
      <w:r w:rsidRPr="00F00639">
        <w:rPr>
          <w:rFonts w:ascii="Arial" w:hAnsi="Arial" w:cs="Arial"/>
          <w:color w:val="404040"/>
        </w:rPr>
        <w:t xml:space="preserve"> </w:t>
      </w:r>
      <w:r w:rsidRPr="00F00639">
        <w:t xml:space="preserve">it is an administrative procedure between the competent authorities of the Member States involved in a tax dispute. During the </w:t>
      </w:r>
      <w:proofErr w:type="gramStart"/>
      <w:r w:rsidRPr="00F74367">
        <w:rPr>
          <w:lang w:val="en-US"/>
        </w:rPr>
        <w:t>MAP ,</w:t>
      </w:r>
      <w:proofErr w:type="gramEnd"/>
      <w:r w:rsidRPr="00F74367">
        <w:rPr>
          <w:lang w:val="en-US"/>
        </w:rPr>
        <w:t xml:space="preserve"> the </w:t>
      </w:r>
      <w:r w:rsidRPr="00F74367">
        <w:t>competent authorities try to resolve the dispute. The duration of the Directive for MAP is 2 years, or 3 years if it is extended at the reasonable request of the competent authority.</w:t>
      </w:r>
    </w:p>
    <w:p w14:paraId="736A1350" w14:textId="77777777" w:rsidR="00F00639" w:rsidRPr="00F00639" w:rsidRDefault="00F00639" w:rsidP="00F74367">
      <w:pPr>
        <w:jc w:val="both"/>
        <w:rPr>
          <w:b/>
        </w:rPr>
      </w:pPr>
      <w:r w:rsidRPr="00F00639">
        <w:rPr>
          <w:b/>
        </w:rPr>
        <w:t>Briefly about the dispute resolution procedure</w:t>
      </w:r>
    </w:p>
    <w:p w14:paraId="4773CB77" w14:textId="77777777" w:rsidR="00F00639" w:rsidRPr="00F00639" w:rsidRDefault="00F00639" w:rsidP="00F74367">
      <w:pPr>
        <w:jc w:val="both"/>
      </w:pPr>
      <w:r w:rsidRPr="00F00639">
        <w:t xml:space="preserve">In the event that a dispute between the competent authorities is not resolved with the help of the </w:t>
      </w:r>
      <w:proofErr w:type="gramStart"/>
      <w:r w:rsidRPr="00F74367">
        <w:rPr>
          <w:b/>
        </w:rPr>
        <w:t xml:space="preserve">MAP </w:t>
      </w:r>
      <w:r w:rsidRPr="00F00639">
        <w:t>,</w:t>
      </w:r>
      <w:proofErr w:type="gramEnd"/>
      <w:r w:rsidRPr="00F00639">
        <w:t xml:space="preserve"> the taxpayer may request the establishment of an </w:t>
      </w:r>
      <w:r w:rsidRPr="00F74367">
        <w:rPr>
          <w:b/>
        </w:rPr>
        <w:t xml:space="preserve">Advisory Commission </w:t>
      </w:r>
      <w:r w:rsidRPr="00F00639">
        <w:t>. The Advisory Commission is composed of the competent authorities of the disputed Member States and three independents (one of whom acts as chairman). These persons are selected from a specially drawn up list to which they are nominated by the Member States in accordance with the Directive.</w:t>
      </w:r>
    </w:p>
    <w:p w14:paraId="4051612F" w14:textId="2505CA5F" w:rsidR="00F00639" w:rsidRPr="00E852EF" w:rsidRDefault="00F00639" w:rsidP="00F74367">
      <w:pPr>
        <w:jc w:val="both"/>
      </w:pPr>
      <w:r w:rsidRPr="00F00639">
        <w:t xml:space="preserve">The competent authorities sitting on the Consultative Commission shall agree on </w:t>
      </w:r>
      <w:r w:rsidRPr="00F74367">
        <w:rPr>
          <w:b/>
        </w:rPr>
        <w:t xml:space="preserve">Rules of </w:t>
      </w:r>
      <w:proofErr w:type="gramStart"/>
      <w:r w:rsidRPr="00F74367">
        <w:rPr>
          <w:b/>
        </w:rPr>
        <w:t xml:space="preserve">Operation </w:t>
      </w:r>
      <w:r w:rsidRPr="00F00639">
        <w:t>,</w:t>
      </w:r>
      <w:proofErr w:type="gramEnd"/>
      <w:r w:rsidRPr="00F00639">
        <w:t xml:space="preserve"> which detail the procedure. In the event that the Rules of Operation are not brought to the attention of the taxpayer </w:t>
      </w:r>
      <w:r w:rsidRPr="00F00639">
        <w:lastRenderedPageBreak/>
        <w:t xml:space="preserve">or are not brought to the attention of the taxpayer in full, the participants must use the model </w:t>
      </w:r>
      <w:hyperlink r:id="rId14" w:history="1">
        <w:r w:rsidRPr="00E852EF">
          <w:rPr>
            <w:rStyle w:val="a6"/>
            <w:color w:val="auto"/>
            <w:u w:val="none"/>
          </w:rPr>
          <w:t xml:space="preserve">Rules of </w:t>
        </w:r>
      </w:hyperlink>
      <w:hyperlink r:id="rId15" w:history="1">
        <w:r w:rsidR="00E852EF">
          <w:rPr>
            <w:rStyle w:val="a6"/>
            <w:color w:val="auto"/>
            <w:u w:val="none"/>
          </w:rPr>
          <w:t xml:space="preserve">Operation </w:t>
        </w:r>
      </w:hyperlink>
      <w:hyperlink r:id="rId16" w:history="1">
        <w:r w:rsidRPr="00E852EF">
          <w:rPr>
            <w:rStyle w:val="a6"/>
            <w:color w:val="auto"/>
            <w:u w:val="none"/>
          </w:rPr>
          <w:t>.</w:t>
        </w:r>
      </w:hyperlink>
    </w:p>
    <w:p w14:paraId="0D0A1075" w14:textId="77777777" w:rsidR="00F00639" w:rsidRDefault="00F00639" w:rsidP="00F74367">
      <w:pPr>
        <w:jc w:val="both"/>
      </w:pPr>
      <w:r w:rsidRPr="00F00639">
        <w:t>Once established, the Advisory Commission must submit its opinion within 6 months.</w:t>
      </w:r>
    </w:p>
    <w:p w14:paraId="46064B44" w14:textId="77777777" w:rsidR="009363EC" w:rsidRPr="009363EC" w:rsidRDefault="009363EC" w:rsidP="00F74367">
      <w:pPr>
        <w:jc w:val="both"/>
        <w:rPr>
          <w:b/>
        </w:rPr>
      </w:pPr>
      <w:r w:rsidRPr="009363EC">
        <w:rPr>
          <w:b/>
        </w:rPr>
        <w:t>Final Decisions</w:t>
      </w:r>
    </w:p>
    <w:p w14:paraId="287BD38C" w14:textId="4A069951" w:rsidR="009363EC" w:rsidRPr="00F00639" w:rsidRDefault="009363EC" w:rsidP="00F74367">
      <w:pPr>
        <w:jc w:val="both"/>
      </w:pPr>
      <w:r w:rsidRPr="009363EC">
        <w:t xml:space="preserve">After the Advisory Commission presents its opinion, it is brought to the attention of the competent authorities. Based on this opinion, the competent authorities of the Member States concerned shall take the final decision. If they fail to agree on a final decision in time, the conclusion becomes binding on the competent authorities. </w:t>
      </w:r>
      <w:r w:rsidRPr="009363EC">
        <w:br/>
        <w:t>The details of the decisions will be published online.</w:t>
      </w:r>
    </w:p>
    <w:p w14:paraId="053573CA" w14:textId="77777777" w:rsidR="00FF1F5E" w:rsidRPr="00FF1F5E" w:rsidRDefault="00FF1F5E" w:rsidP="00F74367">
      <w:pPr>
        <w:pStyle w:val="2"/>
        <w:jc w:val="both"/>
        <w:rPr>
          <w:rFonts w:asciiTheme="minorHAnsi" w:eastAsia="Times New Roman" w:hAnsiTheme="minorHAnsi" w:cstheme="minorHAnsi"/>
          <w:b/>
          <w:color w:val="404040"/>
          <w:sz w:val="22"/>
          <w:szCs w:val="22"/>
        </w:rPr>
      </w:pPr>
      <w:r w:rsidRPr="00FF1F5E">
        <w:rPr>
          <w:rFonts w:asciiTheme="minorHAnsi" w:hAnsiTheme="minorHAnsi" w:cstheme="minorHAnsi"/>
          <w:b/>
          <w:color w:val="404040"/>
          <w:sz w:val="22"/>
          <w:szCs w:val="22"/>
        </w:rPr>
        <w:t>Related links</w:t>
      </w:r>
    </w:p>
    <w:p w14:paraId="6EA7B85D" w14:textId="77777777" w:rsidR="00FF1F5E" w:rsidRPr="00F74367" w:rsidRDefault="002107E6" w:rsidP="00F74367">
      <w:pPr>
        <w:numPr>
          <w:ilvl w:val="0"/>
          <w:numId w:val="17"/>
        </w:numPr>
        <w:spacing w:after="0" w:afterAutospacing="1" w:line="240" w:lineRule="auto"/>
        <w:jc w:val="both"/>
        <w:rPr>
          <w:rFonts w:ascii="Times New Roman" w:hAnsi="Times New Roman" w:cs="Times New Roman"/>
          <w:i/>
          <w:color w:val="0033CC"/>
        </w:rPr>
      </w:pPr>
      <w:hyperlink r:id="rId17" w:history="1">
        <w:r w:rsidR="00FF1F5E" w:rsidRPr="00F74367">
          <w:rPr>
            <w:rStyle w:val="a6"/>
            <w:rFonts w:ascii="Arial" w:hAnsi="Arial" w:cs="Arial"/>
            <w:i/>
            <w:color w:val="0033CC"/>
          </w:rPr>
          <w:t>Council Directive (EU) 2017/1852 of 10 October 2017 on tax dispute resolution mechanisms in the European Union</w:t>
        </w:r>
      </w:hyperlink>
    </w:p>
    <w:p w14:paraId="3358B987" w14:textId="3E7453CC" w:rsidR="00FF1F5E" w:rsidRPr="00F74367" w:rsidRDefault="002107E6" w:rsidP="00F74367">
      <w:pPr>
        <w:numPr>
          <w:ilvl w:val="0"/>
          <w:numId w:val="17"/>
        </w:numPr>
        <w:spacing w:beforeAutospacing="1" w:after="0" w:afterAutospacing="1" w:line="240" w:lineRule="auto"/>
        <w:jc w:val="both"/>
        <w:rPr>
          <w:i/>
          <w:color w:val="0033CC"/>
        </w:rPr>
      </w:pPr>
      <w:hyperlink r:id="rId18" w:history="1">
        <w:r w:rsidR="00FF1F5E" w:rsidRPr="00F74367">
          <w:rPr>
            <w:rStyle w:val="a6"/>
            <w:rFonts w:ascii="Arial" w:hAnsi="Arial" w:cs="Arial"/>
            <w:i/>
            <w:color w:val="0033CC"/>
          </w:rPr>
          <w:t>Commission Implementing Regulation (EU) 2019/652 of 24 April 2019 laying down standard rules for the functioning of an Advisory Commission or Commission for Alternative Dispute Resolution, as well as a standard form for the communication of information relating to the promulgation of a final decision in accordance with Council Directive (EU) 2017/ 1852</w:t>
        </w:r>
      </w:hyperlink>
    </w:p>
    <w:p w14:paraId="529535CB" w14:textId="7F7F8CE6" w:rsidR="00F00639" w:rsidRPr="00F74367" w:rsidRDefault="002107E6" w:rsidP="00F74367">
      <w:pPr>
        <w:pStyle w:val="a7"/>
        <w:numPr>
          <w:ilvl w:val="0"/>
          <w:numId w:val="17"/>
        </w:numPr>
        <w:spacing w:beforeAutospacing="1" w:after="0" w:afterAutospacing="1" w:line="240" w:lineRule="auto"/>
        <w:jc w:val="both"/>
        <w:rPr>
          <w:color w:val="0033CC"/>
        </w:rPr>
      </w:pPr>
      <w:hyperlink r:id="rId19" w:history="1">
        <w:r w:rsidR="00FF1F5E" w:rsidRPr="00F74367">
          <w:rPr>
            <w:rStyle w:val="a6"/>
            <w:rFonts w:ascii="Arial" w:hAnsi="Arial" w:cs="Arial"/>
            <w:i/>
            <w:color w:val="0033CC"/>
          </w:rPr>
          <w:t>Commission proposal for a Council Directive on dispute resolution mechanisms for the avoidance of double taxation in the EU - Annex</w:t>
        </w:r>
      </w:hyperlink>
    </w:p>
    <w:sectPr w:rsidR="00F00639" w:rsidRPr="00F74367" w:rsidSect="000F5126">
      <w:headerReference w:type="default" r:id="rId20"/>
      <w:footerReference w:type="default" r:id="rId21"/>
      <w:footerReference w:type="first" r:id="rId22"/>
      <w:pgSz w:w="11906" w:h="16838"/>
      <w:pgMar w:top="142" w:right="707" w:bottom="1276" w:left="1134" w:header="1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2C135" w14:textId="77777777" w:rsidR="002107E6" w:rsidRDefault="002107E6" w:rsidP="006D3082">
      <w:pPr>
        <w:spacing w:after="0" w:line="240" w:lineRule="auto"/>
      </w:pPr>
      <w:r>
        <w:separator/>
      </w:r>
    </w:p>
  </w:endnote>
  <w:endnote w:type="continuationSeparator" w:id="0">
    <w:p w14:paraId="52BF9251" w14:textId="77777777" w:rsidR="002107E6" w:rsidRDefault="002107E6" w:rsidP="006D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8141430"/>
      <w:docPartObj>
        <w:docPartGallery w:val="Page Numbers (Bottom of Page)"/>
        <w:docPartUnique/>
      </w:docPartObj>
    </w:sdtPr>
    <w:sdtEndPr/>
    <w:sdtContent>
      <w:p w14:paraId="7309CC5B" w14:textId="77777777" w:rsidR="00D438F7" w:rsidRDefault="00D438F7">
        <w:pPr>
          <w:pStyle w:val="ab"/>
          <w:jc w:val="center"/>
        </w:pPr>
        <w:r>
          <w:fldChar w:fldCharType="begin"/>
        </w:r>
        <w:r>
          <w:instrText>PAGE   \* MERGEFORMAT</w:instrText>
        </w:r>
        <w:r>
          <w:fldChar w:fldCharType="separate"/>
        </w:r>
        <w:r w:rsidR="00F74367">
          <w:rPr>
            <w:noProof/>
          </w:rPr>
          <w:t>2</w:t>
        </w:r>
        <w:r>
          <w:fldChar w:fldCharType="end"/>
        </w:r>
      </w:p>
    </w:sdtContent>
  </w:sdt>
  <w:p w14:paraId="59F1B9DD" w14:textId="77777777" w:rsidR="00D438F7" w:rsidRDefault="00D438F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911632"/>
      <w:docPartObj>
        <w:docPartGallery w:val="Page Numbers (Bottom of Page)"/>
        <w:docPartUnique/>
      </w:docPartObj>
    </w:sdtPr>
    <w:sdtEndPr/>
    <w:sdtContent>
      <w:p w14:paraId="6D0A4738" w14:textId="77777777" w:rsidR="00D438F7" w:rsidRDefault="00D438F7">
        <w:pPr>
          <w:pStyle w:val="ab"/>
          <w:jc w:val="center"/>
        </w:pPr>
        <w:r>
          <w:fldChar w:fldCharType="begin"/>
        </w:r>
        <w:r>
          <w:instrText>PAGE   \* MERGEFORMAT</w:instrText>
        </w:r>
        <w:r>
          <w:fldChar w:fldCharType="separate"/>
        </w:r>
        <w:r w:rsidR="00F74367">
          <w:rPr>
            <w:noProof/>
          </w:rPr>
          <w:t>one</w:t>
        </w:r>
        <w:r>
          <w:fldChar w:fldCharType="end"/>
        </w:r>
      </w:p>
    </w:sdtContent>
  </w:sdt>
  <w:p w14:paraId="3E5B2B33" w14:textId="77777777" w:rsidR="00D438F7" w:rsidRDefault="00D438F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05B0C" w14:textId="77777777" w:rsidR="002107E6" w:rsidRDefault="002107E6" w:rsidP="006D3082">
      <w:pPr>
        <w:spacing w:after="0" w:line="240" w:lineRule="auto"/>
      </w:pPr>
      <w:r>
        <w:separator/>
      </w:r>
    </w:p>
  </w:footnote>
  <w:footnote w:type="continuationSeparator" w:id="0">
    <w:p w14:paraId="59FEC94E" w14:textId="77777777" w:rsidR="002107E6" w:rsidRDefault="002107E6" w:rsidP="006D3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4459" w14:textId="77777777" w:rsidR="00100680" w:rsidRPr="00100680" w:rsidRDefault="00100680" w:rsidP="00100680">
    <w:pPr>
      <w:pStyle w:val="a9"/>
      <w:jc w:val="right"/>
      <w:rPr>
        <w:b/>
        <w:bCs/>
        <w:sz w:val="24"/>
        <w:szCs w:val="24"/>
      </w:rPr>
    </w:pPr>
    <w:proofErr w:type="spellStart"/>
    <w:r w:rsidRPr="00100680">
      <w:rPr>
        <w:b/>
        <w:bCs/>
        <w:sz w:val="24"/>
        <w:szCs w:val="24"/>
      </w:rPr>
      <w:t>Temperi</w:t>
    </w:r>
    <w:proofErr w:type="spellEnd"/>
    <w:r w:rsidRPr="00100680">
      <w:rPr>
        <w:b/>
        <w:bCs/>
        <w:sz w:val="24"/>
        <w:szCs w:val="24"/>
      </w:rPr>
      <w:t xml:space="preserve"> Logistics Ltd</w:t>
    </w:r>
  </w:p>
  <w:p w14:paraId="23902EF2" w14:textId="788E6896" w:rsidR="006D3082" w:rsidRDefault="00100680" w:rsidP="00100680">
    <w:pPr>
      <w:pStyle w:val="a9"/>
      <w:jc w:val="right"/>
    </w:pPr>
    <w:r w:rsidRPr="00100680">
      <w:rPr>
        <w:rFonts w:ascii="Tahoma" w:hAnsi="Tahoma" w:cs="Tahoma"/>
        <w:b/>
      </w:rPr>
      <w:t xml:space="preserve">9009 Bulgaria, Varna, District Mladost, 166А </w:t>
    </w:r>
    <w:proofErr w:type="spellStart"/>
    <w:r w:rsidRPr="00100680">
      <w:rPr>
        <w:rFonts w:ascii="Tahoma" w:hAnsi="Tahoma" w:cs="Tahoma"/>
        <w:b/>
      </w:rPr>
      <w:t>Slivnitsa</w:t>
    </w:r>
    <w:proofErr w:type="spellEnd"/>
    <w:r w:rsidRPr="00100680">
      <w:rPr>
        <w:rFonts w:ascii="Tahoma" w:hAnsi="Tahoma" w:cs="Tahoma"/>
        <w:b/>
      </w:rPr>
      <w:t xml:space="preserve"> </w:t>
    </w:r>
    <w:proofErr w:type="spellStart"/>
    <w:r w:rsidRPr="00100680">
      <w:rPr>
        <w:rFonts w:ascii="Tahoma" w:hAnsi="Tahoma" w:cs="Tahoma"/>
        <w:b/>
      </w:rPr>
      <w:t>Blv</w:t>
    </w:r>
    <w:proofErr w:type="spellEnd"/>
    <w:r w:rsidRPr="00100680">
      <w:rPr>
        <w:rFonts w:ascii="Tahoma" w:hAnsi="Tahoma" w:cs="Tahoma"/>
        <w:b/>
      </w:rPr>
      <w:t>., fl. 6 apt. office 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615AB"/>
    <w:multiLevelType w:val="multilevel"/>
    <w:tmpl w:val="F37464B0"/>
    <w:lvl w:ilvl="0">
      <w:start w:val="3"/>
      <w:numFmt w:val="decimal"/>
      <w:lvlText w:val="%1."/>
      <w:lvlJc w:val="left"/>
      <w:pPr>
        <w:ind w:left="360" w:hanging="360"/>
      </w:pPr>
      <w:rPr>
        <w:rFonts w:hint="default"/>
      </w:rPr>
    </w:lvl>
    <w:lvl w:ilvl="1">
      <w:start w:val="1"/>
      <w:numFmt w:val="decimal"/>
      <w:lvlText w:val="%1.%2."/>
      <w:lvlJc w:val="left"/>
      <w:pPr>
        <w:ind w:left="2073" w:hanging="72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5139" w:hanging="108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1271" w:hanging="1800"/>
      </w:pPr>
      <w:rPr>
        <w:rFonts w:hint="default"/>
      </w:rPr>
    </w:lvl>
    <w:lvl w:ilvl="8">
      <w:start w:val="1"/>
      <w:numFmt w:val="decimal"/>
      <w:lvlText w:val="%1.%2.%3.%4.%5.%6.%7.%8.%9."/>
      <w:lvlJc w:val="left"/>
      <w:pPr>
        <w:ind w:left="12624" w:hanging="1800"/>
      </w:pPr>
      <w:rPr>
        <w:rFonts w:hint="default"/>
      </w:rPr>
    </w:lvl>
  </w:abstractNum>
  <w:abstractNum w:abstractNumId="1" w15:restartNumberingAfterBreak="0">
    <w:nsid w:val="17DD3FDB"/>
    <w:multiLevelType w:val="multilevel"/>
    <w:tmpl w:val="D1567366"/>
    <w:lvl w:ilvl="0">
      <w:start w:val="1"/>
      <w:numFmt w:val="decimal"/>
      <w:lvlText w:val="%1."/>
      <w:lvlJc w:val="left"/>
      <w:pPr>
        <w:ind w:left="360" w:hanging="36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21C4215B"/>
    <w:multiLevelType w:val="multilevel"/>
    <w:tmpl w:val="C7BAE70C"/>
    <w:lvl w:ilvl="0">
      <w:start w:val="1"/>
      <w:numFmt w:val="decimal"/>
      <w:lvlText w:val="%1."/>
      <w:lvlJc w:val="left"/>
      <w:pPr>
        <w:ind w:left="360" w:hanging="360"/>
      </w:pPr>
      <w:rPr>
        <w:rFonts w:cs="Times New Roman" w:hint="default"/>
        <w:color w:val="auto"/>
      </w:rPr>
    </w:lvl>
    <w:lvl w:ilvl="1">
      <w:start w:val="1"/>
      <w:numFmt w:val="decimal"/>
      <w:lvlText w:val="%1.%2."/>
      <w:lvlJc w:val="left"/>
      <w:pPr>
        <w:ind w:left="1713" w:hanging="720"/>
      </w:pPr>
      <w:rPr>
        <w:rFonts w:cs="Times New Roman" w:hint="default"/>
        <w:color w:val="auto"/>
      </w:rPr>
    </w:lvl>
    <w:lvl w:ilvl="2">
      <w:start w:val="1"/>
      <w:numFmt w:val="decimal"/>
      <w:lvlText w:val="%1.%2.%3."/>
      <w:lvlJc w:val="left"/>
      <w:pPr>
        <w:ind w:left="2706" w:hanging="720"/>
      </w:pPr>
      <w:rPr>
        <w:rFonts w:cs="Times New Roman" w:hint="default"/>
        <w:color w:val="auto"/>
      </w:rPr>
    </w:lvl>
    <w:lvl w:ilvl="3">
      <w:start w:val="1"/>
      <w:numFmt w:val="decimal"/>
      <w:lvlText w:val="%1.%2.%3.%4."/>
      <w:lvlJc w:val="left"/>
      <w:pPr>
        <w:ind w:left="4059" w:hanging="1080"/>
      </w:pPr>
      <w:rPr>
        <w:rFonts w:cs="Times New Roman" w:hint="default"/>
        <w:color w:val="auto"/>
      </w:rPr>
    </w:lvl>
    <w:lvl w:ilvl="4">
      <w:start w:val="1"/>
      <w:numFmt w:val="decimal"/>
      <w:lvlText w:val="%1.%2.%3.%4.%5."/>
      <w:lvlJc w:val="left"/>
      <w:pPr>
        <w:ind w:left="5052" w:hanging="1080"/>
      </w:pPr>
      <w:rPr>
        <w:rFonts w:cs="Times New Roman" w:hint="default"/>
        <w:color w:val="auto"/>
      </w:rPr>
    </w:lvl>
    <w:lvl w:ilvl="5">
      <w:start w:val="1"/>
      <w:numFmt w:val="decimal"/>
      <w:lvlText w:val="%1.%2.%3.%4.%5.%6."/>
      <w:lvlJc w:val="left"/>
      <w:pPr>
        <w:ind w:left="6405" w:hanging="1440"/>
      </w:pPr>
      <w:rPr>
        <w:rFonts w:cs="Times New Roman" w:hint="default"/>
        <w:color w:val="auto"/>
      </w:rPr>
    </w:lvl>
    <w:lvl w:ilvl="6">
      <w:start w:val="1"/>
      <w:numFmt w:val="decimal"/>
      <w:lvlText w:val="%1.%2.%3.%4.%5.%6.%7."/>
      <w:lvlJc w:val="left"/>
      <w:pPr>
        <w:ind w:left="7398" w:hanging="1440"/>
      </w:pPr>
      <w:rPr>
        <w:rFonts w:cs="Times New Roman" w:hint="default"/>
        <w:color w:val="auto"/>
      </w:rPr>
    </w:lvl>
    <w:lvl w:ilvl="7">
      <w:start w:val="1"/>
      <w:numFmt w:val="decimal"/>
      <w:lvlText w:val="%1.%2.%3.%4.%5.%6.%7.%8."/>
      <w:lvlJc w:val="left"/>
      <w:pPr>
        <w:ind w:left="8751" w:hanging="1800"/>
      </w:pPr>
      <w:rPr>
        <w:rFonts w:cs="Times New Roman" w:hint="default"/>
        <w:color w:val="auto"/>
      </w:rPr>
    </w:lvl>
    <w:lvl w:ilvl="8">
      <w:start w:val="1"/>
      <w:numFmt w:val="decimal"/>
      <w:lvlText w:val="%1.%2.%3.%4.%5.%6.%7.%8.%9."/>
      <w:lvlJc w:val="left"/>
      <w:pPr>
        <w:ind w:left="9744" w:hanging="1800"/>
      </w:pPr>
      <w:rPr>
        <w:rFonts w:cs="Times New Roman" w:hint="default"/>
        <w:color w:val="auto"/>
      </w:rPr>
    </w:lvl>
  </w:abstractNum>
  <w:abstractNum w:abstractNumId="3" w15:restartNumberingAfterBreak="0">
    <w:nsid w:val="23506FDC"/>
    <w:multiLevelType w:val="hybridMultilevel"/>
    <w:tmpl w:val="3D74D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B500AF"/>
    <w:multiLevelType w:val="multilevel"/>
    <w:tmpl w:val="CC6C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D4685"/>
    <w:multiLevelType w:val="multilevel"/>
    <w:tmpl w:val="363E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2360F"/>
    <w:multiLevelType w:val="multilevel"/>
    <w:tmpl w:val="5AE47752"/>
    <w:lvl w:ilvl="0">
      <w:start w:val="1"/>
      <w:numFmt w:val="decimal"/>
      <w:lvlText w:val="%1."/>
      <w:lvlJc w:val="left"/>
      <w:pPr>
        <w:ind w:left="993" w:hanging="360"/>
      </w:pPr>
      <w:rPr>
        <w:rFonts w:cs="Times New Roman" w:hint="default"/>
        <w:color w:val="auto"/>
      </w:rPr>
    </w:lvl>
    <w:lvl w:ilvl="1">
      <w:start w:val="1"/>
      <w:numFmt w:val="decimal"/>
      <w:lvlText w:val="%1.%2."/>
      <w:lvlJc w:val="left"/>
      <w:pPr>
        <w:ind w:left="2346" w:hanging="720"/>
      </w:pPr>
      <w:rPr>
        <w:rFonts w:cs="Times New Roman" w:hint="default"/>
        <w:color w:val="auto"/>
      </w:rPr>
    </w:lvl>
    <w:lvl w:ilvl="2">
      <w:start w:val="1"/>
      <w:numFmt w:val="decimal"/>
      <w:lvlText w:val="%1.%2.%3."/>
      <w:lvlJc w:val="left"/>
      <w:pPr>
        <w:ind w:left="3339" w:hanging="720"/>
      </w:pPr>
      <w:rPr>
        <w:rFonts w:cs="Times New Roman" w:hint="default"/>
        <w:color w:val="auto"/>
      </w:rPr>
    </w:lvl>
    <w:lvl w:ilvl="3">
      <w:start w:val="1"/>
      <w:numFmt w:val="decimal"/>
      <w:lvlText w:val="%1.%2.%3.%4."/>
      <w:lvlJc w:val="left"/>
      <w:pPr>
        <w:ind w:left="4692" w:hanging="1080"/>
      </w:pPr>
      <w:rPr>
        <w:rFonts w:cs="Times New Roman" w:hint="default"/>
        <w:color w:val="auto"/>
      </w:rPr>
    </w:lvl>
    <w:lvl w:ilvl="4">
      <w:start w:val="1"/>
      <w:numFmt w:val="decimal"/>
      <w:lvlText w:val="%1.%2.%3.%4.%5."/>
      <w:lvlJc w:val="left"/>
      <w:pPr>
        <w:ind w:left="5685" w:hanging="1080"/>
      </w:pPr>
      <w:rPr>
        <w:rFonts w:cs="Times New Roman" w:hint="default"/>
        <w:color w:val="auto"/>
      </w:rPr>
    </w:lvl>
    <w:lvl w:ilvl="5">
      <w:start w:val="1"/>
      <w:numFmt w:val="decimal"/>
      <w:lvlText w:val="%1.%2.%3.%4.%5.%6."/>
      <w:lvlJc w:val="left"/>
      <w:pPr>
        <w:ind w:left="7038" w:hanging="1440"/>
      </w:pPr>
      <w:rPr>
        <w:rFonts w:cs="Times New Roman" w:hint="default"/>
        <w:color w:val="auto"/>
      </w:rPr>
    </w:lvl>
    <w:lvl w:ilvl="6">
      <w:start w:val="1"/>
      <w:numFmt w:val="decimal"/>
      <w:lvlText w:val="%1.%2.%3.%4.%5.%6.%7."/>
      <w:lvlJc w:val="left"/>
      <w:pPr>
        <w:ind w:left="8031" w:hanging="1440"/>
      </w:pPr>
      <w:rPr>
        <w:rFonts w:cs="Times New Roman" w:hint="default"/>
        <w:color w:val="auto"/>
      </w:rPr>
    </w:lvl>
    <w:lvl w:ilvl="7">
      <w:start w:val="1"/>
      <w:numFmt w:val="decimal"/>
      <w:lvlText w:val="%1.%2.%3.%4.%5.%6.%7.%8."/>
      <w:lvlJc w:val="left"/>
      <w:pPr>
        <w:ind w:left="9384" w:hanging="1800"/>
      </w:pPr>
      <w:rPr>
        <w:rFonts w:cs="Times New Roman" w:hint="default"/>
        <w:color w:val="auto"/>
      </w:rPr>
    </w:lvl>
    <w:lvl w:ilvl="8">
      <w:start w:val="1"/>
      <w:numFmt w:val="decimal"/>
      <w:lvlText w:val="%1.%2.%3.%4.%5.%6.%7.%8.%9."/>
      <w:lvlJc w:val="left"/>
      <w:pPr>
        <w:ind w:left="10377" w:hanging="1800"/>
      </w:pPr>
      <w:rPr>
        <w:rFonts w:cs="Times New Roman" w:hint="default"/>
        <w:color w:val="auto"/>
      </w:rPr>
    </w:lvl>
  </w:abstractNum>
  <w:abstractNum w:abstractNumId="7" w15:restartNumberingAfterBreak="0">
    <w:nsid w:val="4A2E1B94"/>
    <w:multiLevelType w:val="multilevel"/>
    <w:tmpl w:val="4F5CD476"/>
    <w:lvl w:ilvl="0">
      <w:start w:val="1"/>
      <w:numFmt w:val="decimal"/>
      <w:lvlText w:val="%1."/>
      <w:lvlJc w:val="left"/>
      <w:pPr>
        <w:ind w:left="993" w:hanging="360"/>
      </w:pPr>
      <w:rPr>
        <w:rFonts w:cs="Times New Roman" w:hint="default"/>
        <w:color w:val="auto"/>
      </w:rPr>
    </w:lvl>
    <w:lvl w:ilvl="1">
      <w:start w:val="1"/>
      <w:numFmt w:val="decimal"/>
      <w:lvlText w:val="%1.%2."/>
      <w:lvlJc w:val="left"/>
      <w:pPr>
        <w:ind w:left="2073" w:hanging="720"/>
      </w:pPr>
      <w:rPr>
        <w:rFonts w:cs="Times New Roman" w:hint="default"/>
        <w:color w:val="auto"/>
      </w:rPr>
    </w:lvl>
    <w:lvl w:ilvl="2">
      <w:start w:val="1"/>
      <w:numFmt w:val="decimal"/>
      <w:lvlText w:val="%1.%2.%3."/>
      <w:lvlJc w:val="left"/>
      <w:pPr>
        <w:ind w:left="2793" w:hanging="720"/>
      </w:pPr>
      <w:rPr>
        <w:rFonts w:cs="Times New Roman" w:hint="default"/>
        <w:color w:val="auto"/>
      </w:rPr>
    </w:lvl>
    <w:lvl w:ilvl="3">
      <w:start w:val="1"/>
      <w:numFmt w:val="decimal"/>
      <w:lvlText w:val="%1.%2.%3.%4."/>
      <w:lvlJc w:val="left"/>
      <w:pPr>
        <w:ind w:left="3873" w:hanging="1080"/>
      </w:pPr>
      <w:rPr>
        <w:rFonts w:cs="Times New Roman" w:hint="default"/>
        <w:color w:val="auto"/>
      </w:rPr>
    </w:lvl>
    <w:lvl w:ilvl="4">
      <w:start w:val="1"/>
      <w:numFmt w:val="decimal"/>
      <w:lvlText w:val="%1.%2.%3.%4.%5."/>
      <w:lvlJc w:val="left"/>
      <w:pPr>
        <w:ind w:left="4593" w:hanging="1080"/>
      </w:pPr>
      <w:rPr>
        <w:rFonts w:cs="Times New Roman" w:hint="default"/>
        <w:color w:val="auto"/>
      </w:rPr>
    </w:lvl>
    <w:lvl w:ilvl="5">
      <w:start w:val="1"/>
      <w:numFmt w:val="decimal"/>
      <w:lvlText w:val="%1.%2.%3.%4.%5.%6."/>
      <w:lvlJc w:val="left"/>
      <w:pPr>
        <w:ind w:left="5673" w:hanging="1440"/>
      </w:pPr>
      <w:rPr>
        <w:rFonts w:cs="Times New Roman" w:hint="default"/>
        <w:color w:val="auto"/>
      </w:rPr>
    </w:lvl>
    <w:lvl w:ilvl="6">
      <w:start w:val="1"/>
      <w:numFmt w:val="decimal"/>
      <w:lvlText w:val="%1.%2.%3.%4.%5.%6.%7."/>
      <w:lvlJc w:val="left"/>
      <w:pPr>
        <w:ind w:left="6393" w:hanging="1440"/>
      </w:pPr>
      <w:rPr>
        <w:rFonts w:cs="Times New Roman" w:hint="default"/>
        <w:color w:val="auto"/>
      </w:rPr>
    </w:lvl>
    <w:lvl w:ilvl="7">
      <w:start w:val="1"/>
      <w:numFmt w:val="decimal"/>
      <w:lvlText w:val="%1.%2.%3.%4.%5.%6.%7.%8."/>
      <w:lvlJc w:val="left"/>
      <w:pPr>
        <w:ind w:left="7473" w:hanging="1800"/>
      </w:pPr>
      <w:rPr>
        <w:rFonts w:cs="Times New Roman" w:hint="default"/>
        <w:color w:val="auto"/>
      </w:rPr>
    </w:lvl>
    <w:lvl w:ilvl="8">
      <w:start w:val="1"/>
      <w:numFmt w:val="decimal"/>
      <w:lvlText w:val="%1.%2.%3.%4.%5.%6.%7.%8.%9."/>
      <w:lvlJc w:val="left"/>
      <w:pPr>
        <w:ind w:left="8193" w:hanging="1800"/>
      </w:pPr>
      <w:rPr>
        <w:rFonts w:cs="Times New Roman" w:hint="default"/>
        <w:color w:val="auto"/>
      </w:rPr>
    </w:lvl>
  </w:abstractNum>
  <w:abstractNum w:abstractNumId="8" w15:restartNumberingAfterBreak="0">
    <w:nsid w:val="4C0F3050"/>
    <w:multiLevelType w:val="multilevel"/>
    <w:tmpl w:val="6BDC2F3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4FBE68D2"/>
    <w:multiLevelType w:val="multilevel"/>
    <w:tmpl w:val="01627BF0"/>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0" w15:restartNumberingAfterBreak="0">
    <w:nsid w:val="554739EE"/>
    <w:multiLevelType w:val="hybridMultilevel"/>
    <w:tmpl w:val="028E4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A32798"/>
    <w:multiLevelType w:val="hybridMultilevel"/>
    <w:tmpl w:val="78E8E95A"/>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2" w15:restartNumberingAfterBreak="0">
    <w:nsid w:val="57174C4E"/>
    <w:multiLevelType w:val="multilevel"/>
    <w:tmpl w:val="7C1CD5D0"/>
    <w:lvl w:ilvl="0">
      <w:start w:val="1"/>
      <w:numFmt w:val="decimal"/>
      <w:lvlText w:val="%1."/>
      <w:lvlJc w:val="left"/>
      <w:pPr>
        <w:ind w:left="1068" w:hanging="360"/>
      </w:pPr>
      <w:rPr>
        <w:rFonts w:asciiTheme="majorHAnsi" w:eastAsiaTheme="minorEastAsia" w:hAnsiTheme="majorHAnsi" w:cs="Arial"/>
      </w:rPr>
    </w:lvl>
    <w:lvl w:ilvl="1">
      <w:start w:val="1"/>
      <w:numFmt w:val="decimal"/>
      <w:isLgl/>
      <w:lvlText w:val="%2."/>
      <w:lvlJc w:val="left"/>
      <w:pPr>
        <w:ind w:left="1428" w:hanging="360"/>
      </w:pPr>
      <w:rPr>
        <w:rFonts w:asciiTheme="majorHAnsi" w:eastAsiaTheme="minorEastAsia" w:hAnsiTheme="majorHAnsi" w:cs="Times New Roman"/>
        <w:color w:val="auto"/>
      </w:rPr>
    </w:lvl>
    <w:lvl w:ilvl="2">
      <w:start w:val="1"/>
      <w:numFmt w:val="decimal"/>
      <w:isLgl/>
      <w:lvlText w:val="%1.%2.%3"/>
      <w:lvlJc w:val="left"/>
      <w:pPr>
        <w:ind w:left="2148" w:hanging="720"/>
      </w:pPr>
      <w:rPr>
        <w:rFonts w:cs="Times New Roman" w:hint="default"/>
        <w:color w:val="auto"/>
      </w:rPr>
    </w:lvl>
    <w:lvl w:ilvl="3">
      <w:start w:val="1"/>
      <w:numFmt w:val="decimal"/>
      <w:isLgl/>
      <w:lvlText w:val="%1.%2.%3.%4"/>
      <w:lvlJc w:val="left"/>
      <w:pPr>
        <w:ind w:left="2868" w:hanging="1080"/>
      </w:pPr>
      <w:rPr>
        <w:rFonts w:cs="Times New Roman" w:hint="default"/>
        <w:color w:val="auto"/>
      </w:rPr>
    </w:lvl>
    <w:lvl w:ilvl="4">
      <w:start w:val="1"/>
      <w:numFmt w:val="decimal"/>
      <w:isLgl/>
      <w:lvlText w:val="%1.%2.%3.%4.%5"/>
      <w:lvlJc w:val="left"/>
      <w:pPr>
        <w:ind w:left="3228" w:hanging="1080"/>
      </w:pPr>
      <w:rPr>
        <w:rFonts w:cs="Times New Roman" w:hint="default"/>
        <w:color w:val="auto"/>
      </w:rPr>
    </w:lvl>
    <w:lvl w:ilvl="5">
      <w:start w:val="1"/>
      <w:numFmt w:val="decimal"/>
      <w:isLgl/>
      <w:lvlText w:val="%1.%2.%3.%4.%5.%6"/>
      <w:lvlJc w:val="left"/>
      <w:pPr>
        <w:ind w:left="3948" w:hanging="1440"/>
      </w:pPr>
      <w:rPr>
        <w:rFonts w:cs="Times New Roman" w:hint="default"/>
        <w:color w:val="auto"/>
      </w:rPr>
    </w:lvl>
    <w:lvl w:ilvl="6">
      <w:start w:val="1"/>
      <w:numFmt w:val="decimal"/>
      <w:isLgl/>
      <w:lvlText w:val="%1.%2.%3.%4.%5.%6.%7"/>
      <w:lvlJc w:val="left"/>
      <w:pPr>
        <w:ind w:left="4308" w:hanging="1440"/>
      </w:pPr>
      <w:rPr>
        <w:rFonts w:cs="Times New Roman" w:hint="default"/>
        <w:color w:val="auto"/>
      </w:rPr>
    </w:lvl>
    <w:lvl w:ilvl="7">
      <w:start w:val="1"/>
      <w:numFmt w:val="decimal"/>
      <w:isLgl/>
      <w:lvlText w:val="%1.%2.%3.%4.%5.%6.%7.%8"/>
      <w:lvlJc w:val="left"/>
      <w:pPr>
        <w:ind w:left="5028" w:hanging="1800"/>
      </w:pPr>
      <w:rPr>
        <w:rFonts w:cs="Times New Roman" w:hint="default"/>
        <w:color w:val="auto"/>
      </w:rPr>
    </w:lvl>
    <w:lvl w:ilvl="8">
      <w:start w:val="1"/>
      <w:numFmt w:val="decimal"/>
      <w:isLgl/>
      <w:lvlText w:val="%1.%2.%3.%4.%5.%6.%7.%8.%9"/>
      <w:lvlJc w:val="left"/>
      <w:pPr>
        <w:ind w:left="5388" w:hanging="1800"/>
      </w:pPr>
      <w:rPr>
        <w:rFonts w:cs="Times New Roman" w:hint="default"/>
        <w:color w:val="auto"/>
      </w:rPr>
    </w:lvl>
  </w:abstractNum>
  <w:abstractNum w:abstractNumId="13" w15:restartNumberingAfterBreak="0">
    <w:nsid w:val="5CC370A3"/>
    <w:multiLevelType w:val="multilevel"/>
    <w:tmpl w:val="F0E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9829DD"/>
    <w:multiLevelType w:val="multilevel"/>
    <w:tmpl w:val="84DE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2D79C4"/>
    <w:multiLevelType w:val="multilevel"/>
    <w:tmpl w:val="4732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6D59F0"/>
    <w:multiLevelType w:val="hybridMultilevel"/>
    <w:tmpl w:val="C298B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4C6025"/>
    <w:multiLevelType w:val="multilevel"/>
    <w:tmpl w:val="8E887F6A"/>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2160" w:hanging="108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3240" w:hanging="144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4320" w:hanging="1800"/>
      </w:pPr>
      <w:rPr>
        <w:rFonts w:cs="Times New Roman" w:hint="default"/>
        <w:color w:val="auto"/>
      </w:rPr>
    </w:lvl>
    <w:lvl w:ilvl="8">
      <w:start w:val="1"/>
      <w:numFmt w:val="decimal"/>
      <w:lvlText w:val="%1.%2.%3.%4.%5.%6.%7.%8.%9"/>
      <w:lvlJc w:val="left"/>
      <w:pPr>
        <w:ind w:left="4680" w:hanging="1800"/>
      </w:pPr>
      <w:rPr>
        <w:rFonts w:cs="Times New Roman" w:hint="default"/>
        <w:color w:val="auto"/>
      </w:rPr>
    </w:lvl>
  </w:abstractNum>
  <w:num w:numId="1">
    <w:abstractNumId w:val="10"/>
  </w:num>
  <w:num w:numId="2">
    <w:abstractNumId w:val="3"/>
  </w:num>
  <w:num w:numId="3">
    <w:abstractNumId w:val="11"/>
  </w:num>
  <w:num w:numId="4">
    <w:abstractNumId w:val="16"/>
  </w:num>
  <w:num w:numId="5">
    <w:abstractNumId w:val="14"/>
  </w:num>
  <w:num w:numId="6">
    <w:abstractNumId w:val="12"/>
  </w:num>
  <w:num w:numId="7">
    <w:abstractNumId w:val="8"/>
  </w:num>
  <w:num w:numId="8">
    <w:abstractNumId w:val="9"/>
  </w:num>
  <w:num w:numId="9">
    <w:abstractNumId w:val="7"/>
  </w:num>
  <w:num w:numId="10">
    <w:abstractNumId w:val="6"/>
  </w:num>
  <w:num w:numId="11">
    <w:abstractNumId w:val="2"/>
  </w:num>
  <w:num w:numId="12">
    <w:abstractNumId w:val="17"/>
  </w:num>
  <w:num w:numId="13">
    <w:abstractNumId w:val="1"/>
  </w:num>
  <w:num w:numId="14">
    <w:abstractNumId w:val="0"/>
  </w:num>
  <w:num w:numId="15">
    <w:abstractNumId w:val="5"/>
  </w:num>
  <w:num w:numId="16">
    <w:abstractNumId w:val="13"/>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A8C"/>
    <w:rsid w:val="000027D7"/>
    <w:rsid w:val="000030A0"/>
    <w:rsid w:val="00014157"/>
    <w:rsid w:val="00022D22"/>
    <w:rsid w:val="00024BB2"/>
    <w:rsid w:val="00027EE2"/>
    <w:rsid w:val="00043D78"/>
    <w:rsid w:val="000450C4"/>
    <w:rsid w:val="00055E74"/>
    <w:rsid w:val="00057382"/>
    <w:rsid w:val="00073B94"/>
    <w:rsid w:val="000833A9"/>
    <w:rsid w:val="00084A62"/>
    <w:rsid w:val="00086C39"/>
    <w:rsid w:val="00090AA5"/>
    <w:rsid w:val="000B4881"/>
    <w:rsid w:val="000C35E0"/>
    <w:rsid w:val="000C7577"/>
    <w:rsid w:val="000D206F"/>
    <w:rsid w:val="000D4C68"/>
    <w:rsid w:val="000D59BA"/>
    <w:rsid w:val="000D6A6E"/>
    <w:rsid w:val="000D6CD1"/>
    <w:rsid w:val="000D77C7"/>
    <w:rsid w:val="000E4C5F"/>
    <w:rsid w:val="000E6DA6"/>
    <w:rsid w:val="000E71C3"/>
    <w:rsid w:val="000F5126"/>
    <w:rsid w:val="00100680"/>
    <w:rsid w:val="00106238"/>
    <w:rsid w:val="00120DE0"/>
    <w:rsid w:val="00123836"/>
    <w:rsid w:val="00133F85"/>
    <w:rsid w:val="00147ECD"/>
    <w:rsid w:val="0015228B"/>
    <w:rsid w:val="0016214D"/>
    <w:rsid w:val="00176144"/>
    <w:rsid w:val="00177973"/>
    <w:rsid w:val="00184789"/>
    <w:rsid w:val="00195B8E"/>
    <w:rsid w:val="001A1321"/>
    <w:rsid w:val="001A793C"/>
    <w:rsid w:val="001D6F84"/>
    <w:rsid w:val="001F54C9"/>
    <w:rsid w:val="001F70AD"/>
    <w:rsid w:val="00202B97"/>
    <w:rsid w:val="00203C35"/>
    <w:rsid w:val="002107E6"/>
    <w:rsid w:val="00212102"/>
    <w:rsid w:val="002146C6"/>
    <w:rsid w:val="00250A11"/>
    <w:rsid w:val="00251DFB"/>
    <w:rsid w:val="002545A0"/>
    <w:rsid w:val="00265AEB"/>
    <w:rsid w:val="0028151E"/>
    <w:rsid w:val="002829FC"/>
    <w:rsid w:val="00282B79"/>
    <w:rsid w:val="0028474B"/>
    <w:rsid w:val="002A11D8"/>
    <w:rsid w:val="002B4536"/>
    <w:rsid w:val="002B5845"/>
    <w:rsid w:val="002E03D9"/>
    <w:rsid w:val="002E61EA"/>
    <w:rsid w:val="002E6FE6"/>
    <w:rsid w:val="002F130B"/>
    <w:rsid w:val="00300973"/>
    <w:rsid w:val="00307091"/>
    <w:rsid w:val="003144DD"/>
    <w:rsid w:val="003242D3"/>
    <w:rsid w:val="00330258"/>
    <w:rsid w:val="0033554D"/>
    <w:rsid w:val="003674E0"/>
    <w:rsid w:val="00381C02"/>
    <w:rsid w:val="00382010"/>
    <w:rsid w:val="0038288D"/>
    <w:rsid w:val="00383705"/>
    <w:rsid w:val="003839CF"/>
    <w:rsid w:val="00385329"/>
    <w:rsid w:val="0038647A"/>
    <w:rsid w:val="00391C9D"/>
    <w:rsid w:val="0039291C"/>
    <w:rsid w:val="003C2810"/>
    <w:rsid w:val="003E29C2"/>
    <w:rsid w:val="003E3AD0"/>
    <w:rsid w:val="003E60A8"/>
    <w:rsid w:val="00400659"/>
    <w:rsid w:val="004025F5"/>
    <w:rsid w:val="004069D4"/>
    <w:rsid w:val="00421E99"/>
    <w:rsid w:val="00433391"/>
    <w:rsid w:val="00453725"/>
    <w:rsid w:val="00496FD2"/>
    <w:rsid w:val="004A1D0B"/>
    <w:rsid w:val="004C50E8"/>
    <w:rsid w:val="004C516D"/>
    <w:rsid w:val="004D355B"/>
    <w:rsid w:val="004E3187"/>
    <w:rsid w:val="004F3849"/>
    <w:rsid w:val="00501F76"/>
    <w:rsid w:val="00503CD2"/>
    <w:rsid w:val="00506ACC"/>
    <w:rsid w:val="00524CC9"/>
    <w:rsid w:val="00533642"/>
    <w:rsid w:val="005435BB"/>
    <w:rsid w:val="0054534A"/>
    <w:rsid w:val="00545B14"/>
    <w:rsid w:val="00573C3D"/>
    <w:rsid w:val="00575009"/>
    <w:rsid w:val="00580AF1"/>
    <w:rsid w:val="00580B8E"/>
    <w:rsid w:val="00586781"/>
    <w:rsid w:val="005911F2"/>
    <w:rsid w:val="005E63D9"/>
    <w:rsid w:val="005F5645"/>
    <w:rsid w:val="005F73F4"/>
    <w:rsid w:val="00601597"/>
    <w:rsid w:val="00601952"/>
    <w:rsid w:val="006031DE"/>
    <w:rsid w:val="006104B1"/>
    <w:rsid w:val="00630859"/>
    <w:rsid w:val="006369E8"/>
    <w:rsid w:val="00640F4B"/>
    <w:rsid w:val="00642C29"/>
    <w:rsid w:val="006772B1"/>
    <w:rsid w:val="0068409E"/>
    <w:rsid w:val="00687BE6"/>
    <w:rsid w:val="006A64D9"/>
    <w:rsid w:val="006A7CE0"/>
    <w:rsid w:val="006C35D5"/>
    <w:rsid w:val="006D1AA8"/>
    <w:rsid w:val="006D3082"/>
    <w:rsid w:val="006D48A0"/>
    <w:rsid w:val="006F267C"/>
    <w:rsid w:val="007017CD"/>
    <w:rsid w:val="00705264"/>
    <w:rsid w:val="007078B7"/>
    <w:rsid w:val="00717812"/>
    <w:rsid w:val="0072351D"/>
    <w:rsid w:val="00736117"/>
    <w:rsid w:val="00741E90"/>
    <w:rsid w:val="007535DB"/>
    <w:rsid w:val="00763F5D"/>
    <w:rsid w:val="0077064A"/>
    <w:rsid w:val="0077073E"/>
    <w:rsid w:val="00771FEB"/>
    <w:rsid w:val="00774AE9"/>
    <w:rsid w:val="00781C2C"/>
    <w:rsid w:val="00785F51"/>
    <w:rsid w:val="00790E94"/>
    <w:rsid w:val="0079647C"/>
    <w:rsid w:val="007B3028"/>
    <w:rsid w:val="007B668F"/>
    <w:rsid w:val="007C0A62"/>
    <w:rsid w:val="007C32D3"/>
    <w:rsid w:val="007C4457"/>
    <w:rsid w:val="007D5F29"/>
    <w:rsid w:val="007D6708"/>
    <w:rsid w:val="007D6844"/>
    <w:rsid w:val="007E36F7"/>
    <w:rsid w:val="007E3A30"/>
    <w:rsid w:val="007F314D"/>
    <w:rsid w:val="00804028"/>
    <w:rsid w:val="008061B9"/>
    <w:rsid w:val="00816B4F"/>
    <w:rsid w:val="008172BD"/>
    <w:rsid w:val="0083119A"/>
    <w:rsid w:val="00844647"/>
    <w:rsid w:val="0085683D"/>
    <w:rsid w:val="008653C1"/>
    <w:rsid w:val="00874CE1"/>
    <w:rsid w:val="00875793"/>
    <w:rsid w:val="00896031"/>
    <w:rsid w:val="008B1B80"/>
    <w:rsid w:val="008C15D6"/>
    <w:rsid w:val="008C4F31"/>
    <w:rsid w:val="008C6888"/>
    <w:rsid w:val="008D0B49"/>
    <w:rsid w:val="008F22DF"/>
    <w:rsid w:val="00901269"/>
    <w:rsid w:val="00905028"/>
    <w:rsid w:val="00922854"/>
    <w:rsid w:val="00926867"/>
    <w:rsid w:val="00933600"/>
    <w:rsid w:val="009363EC"/>
    <w:rsid w:val="00945B0C"/>
    <w:rsid w:val="009468D0"/>
    <w:rsid w:val="00947347"/>
    <w:rsid w:val="009567ED"/>
    <w:rsid w:val="009929FF"/>
    <w:rsid w:val="00996983"/>
    <w:rsid w:val="009A6B10"/>
    <w:rsid w:val="009B0716"/>
    <w:rsid w:val="009C4ABA"/>
    <w:rsid w:val="009F139B"/>
    <w:rsid w:val="009F7F65"/>
    <w:rsid w:val="00A039AA"/>
    <w:rsid w:val="00A10450"/>
    <w:rsid w:val="00A12529"/>
    <w:rsid w:val="00A27D9B"/>
    <w:rsid w:val="00A3381E"/>
    <w:rsid w:val="00A34244"/>
    <w:rsid w:val="00A4664D"/>
    <w:rsid w:val="00A46CBF"/>
    <w:rsid w:val="00A83393"/>
    <w:rsid w:val="00A8778C"/>
    <w:rsid w:val="00A87F85"/>
    <w:rsid w:val="00A9151A"/>
    <w:rsid w:val="00A96742"/>
    <w:rsid w:val="00AB216C"/>
    <w:rsid w:val="00AB7A5E"/>
    <w:rsid w:val="00AD5542"/>
    <w:rsid w:val="00AD7B61"/>
    <w:rsid w:val="00AF5BD7"/>
    <w:rsid w:val="00B048B8"/>
    <w:rsid w:val="00B3113A"/>
    <w:rsid w:val="00B36400"/>
    <w:rsid w:val="00B44C8F"/>
    <w:rsid w:val="00B60006"/>
    <w:rsid w:val="00B62DBD"/>
    <w:rsid w:val="00B767DF"/>
    <w:rsid w:val="00B77688"/>
    <w:rsid w:val="00B945CD"/>
    <w:rsid w:val="00B9791E"/>
    <w:rsid w:val="00BB2E1C"/>
    <w:rsid w:val="00BC0512"/>
    <w:rsid w:val="00BC0F70"/>
    <w:rsid w:val="00BC26B8"/>
    <w:rsid w:val="00BC6B2F"/>
    <w:rsid w:val="00BE0E2E"/>
    <w:rsid w:val="00BE1BAB"/>
    <w:rsid w:val="00BE50B9"/>
    <w:rsid w:val="00BF3FC1"/>
    <w:rsid w:val="00BF6872"/>
    <w:rsid w:val="00C032B6"/>
    <w:rsid w:val="00C2249C"/>
    <w:rsid w:val="00C40280"/>
    <w:rsid w:val="00C60E1A"/>
    <w:rsid w:val="00C63D9B"/>
    <w:rsid w:val="00C732DA"/>
    <w:rsid w:val="00C739A2"/>
    <w:rsid w:val="00C82B37"/>
    <w:rsid w:val="00C83485"/>
    <w:rsid w:val="00C91BFA"/>
    <w:rsid w:val="00CA1914"/>
    <w:rsid w:val="00CB79F5"/>
    <w:rsid w:val="00CE0C57"/>
    <w:rsid w:val="00CF5E60"/>
    <w:rsid w:val="00D02680"/>
    <w:rsid w:val="00D11B57"/>
    <w:rsid w:val="00D35901"/>
    <w:rsid w:val="00D438F7"/>
    <w:rsid w:val="00D511B1"/>
    <w:rsid w:val="00D5294C"/>
    <w:rsid w:val="00D530ED"/>
    <w:rsid w:val="00D601FD"/>
    <w:rsid w:val="00D6262A"/>
    <w:rsid w:val="00D76EE9"/>
    <w:rsid w:val="00D9619A"/>
    <w:rsid w:val="00D97069"/>
    <w:rsid w:val="00DA67EB"/>
    <w:rsid w:val="00DA7BF0"/>
    <w:rsid w:val="00DA7F82"/>
    <w:rsid w:val="00DC0C0A"/>
    <w:rsid w:val="00DD7A91"/>
    <w:rsid w:val="00DE02DA"/>
    <w:rsid w:val="00DE6F50"/>
    <w:rsid w:val="00E0547E"/>
    <w:rsid w:val="00E104D3"/>
    <w:rsid w:val="00E25314"/>
    <w:rsid w:val="00E3021D"/>
    <w:rsid w:val="00E309F9"/>
    <w:rsid w:val="00E31417"/>
    <w:rsid w:val="00E3198A"/>
    <w:rsid w:val="00E414B9"/>
    <w:rsid w:val="00E4637A"/>
    <w:rsid w:val="00E542EA"/>
    <w:rsid w:val="00E62DCF"/>
    <w:rsid w:val="00E66F8C"/>
    <w:rsid w:val="00E71498"/>
    <w:rsid w:val="00E7199C"/>
    <w:rsid w:val="00E72608"/>
    <w:rsid w:val="00E74598"/>
    <w:rsid w:val="00E84A38"/>
    <w:rsid w:val="00E852EF"/>
    <w:rsid w:val="00E90136"/>
    <w:rsid w:val="00E92158"/>
    <w:rsid w:val="00E92D84"/>
    <w:rsid w:val="00E96888"/>
    <w:rsid w:val="00EB2545"/>
    <w:rsid w:val="00EB2B05"/>
    <w:rsid w:val="00EB6CF5"/>
    <w:rsid w:val="00EE0453"/>
    <w:rsid w:val="00EF78B5"/>
    <w:rsid w:val="00F00639"/>
    <w:rsid w:val="00F00D10"/>
    <w:rsid w:val="00F034A2"/>
    <w:rsid w:val="00F04DCF"/>
    <w:rsid w:val="00F11BA8"/>
    <w:rsid w:val="00F14B35"/>
    <w:rsid w:val="00F218CD"/>
    <w:rsid w:val="00F24BF2"/>
    <w:rsid w:val="00F40793"/>
    <w:rsid w:val="00F54FE3"/>
    <w:rsid w:val="00F60A8C"/>
    <w:rsid w:val="00F60C76"/>
    <w:rsid w:val="00F6733E"/>
    <w:rsid w:val="00F74367"/>
    <w:rsid w:val="00F83846"/>
    <w:rsid w:val="00F954E9"/>
    <w:rsid w:val="00FA6F92"/>
    <w:rsid w:val="00FB6181"/>
    <w:rsid w:val="00FC15CB"/>
    <w:rsid w:val="00FC291E"/>
    <w:rsid w:val="00FC45DC"/>
    <w:rsid w:val="00FD6461"/>
    <w:rsid w:val="00FD76E7"/>
    <w:rsid w:val="00FE29FB"/>
    <w:rsid w:val="00FE64A0"/>
    <w:rsid w:val="00FF1F5E"/>
    <w:rsid w:val="00FF4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2F8CC"/>
  <w15:docId w15:val="{6F221E54-8E57-4CCD-8579-214BBD93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069"/>
    <w:rPr>
      <w:rFonts w:eastAsiaTheme="minorEastAsia"/>
      <w:lang w:eastAsia="ru-RU"/>
    </w:rPr>
  </w:style>
  <w:style w:type="paragraph" w:styleId="1">
    <w:name w:val="heading 1"/>
    <w:basedOn w:val="a"/>
    <w:link w:val="10"/>
    <w:uiPriority w:val="9"/>
    <w:qFormat/>
    <w:rsid w:val="00FB61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02B97"/>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unhideWhenUsed/>
    <w:qFormat/>
    <w:rsid w:val="00202B97"/>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uiPriority w:val="9"/>
    <w:semiHidden/>
    <w:unhideWhenUsed/>
    <w:qFormat/>
    <w:rsid w:val="00120DE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F4079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60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F60A8C"/>
    <w:rPr>
      <w:rFonts w:asciiTheme="majorHAnsi" w:eastAsiaTheme="majorEastAsia" w:hAnsiTheme="majorHAnsi" w:cstheme="majorBidi"/>
      <w:color w:val="17365D" w:themeColor="text2" w:themeShade="BF"/>
      <w:spacing w:val="5"/>
      <w:kern w:val="28"/>
      <w:sz w:val="52"/>
      <w:szCs w:val="52"/>
      <w:lang w:val="en" w:eastAsia="ru-RU"/>
    </w:rPr>
  </w:style>
  <w:style w:type="paragraph" w:styleId="a5">
    <w:name w:val="No Spacing"/>
    <w:uiPriority w:val="1"/>
    <w:qFormat/>
    <w:rsid w:val="00F60A8C"/>
    <w:pPr>
      <w:spacing w:after="0" w:line="240" w:lineRule="auto"/>
    </w:pPr>
    <w:rPr>
      <w:rFonts w:eastAsiaTheme="minorEastAsia"/>
      <w:lang w:eastAsia="ru-RU"/>
    </w:rPr>
  </w:style>
  <w:style w:type="character" w:styleId="a6">
    <w:name w:val="Hyperlink"/>
    <w:basedOn w:val="a0"/>
    <w:uiPriority w:val="99"/>
    <w:unhideWhenUsed/>
    <w:rsid w:val="00F60A8C"/>
    <w:rPr>
      <w:color w:val="0000FF"/>
      <w:u w:val="single"/>
    </w:rPr>
  </w:style>
  <w:style w:type="paragraph" w:styleId="a7">
    <w:name w:val="List Paragraph"/>
    <w:basedOn w:val="a"/>
    <w:uiPriority w:val="34"/>
    <w:qFormat/>
    <w:rsid w:val="00F60A8C"/>
    <w:pPr>
      <w:ind w:left="720"/>
      <w:contextualSpacing/>
    </w:pPr>
  </w:style>
  <w:style w:type="table" w:styleId="a8">
    <w:name w:val="Table Grid"/>
    <w:basedOn w:val="a1"/>
    <w:uiPriority w:val="59"/>
    <w:rsid w:val="00F60A8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FC45DC"/>
    <w:rPr>
      <w:color w:val="605E5C"/>
      <w:shd w:val="clear" w:color="auto" w:fill="E1DFDD"/>
    </w:rPr>
  </w:style>
  <w:style w:type="paragraph" w:styleId="a9">
    <w:name w:val="header"/>
    <w:basedOn w:val="a"/>
    <w:link w:val="aa"/>
    <w:uiPriority w:val="99"/>
    <w:unhideWhenUsed/>
    <w:rsid w:val="006D308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D3082"/>
    <w:rPr>
      <w:rFonts w:eastAsiaTheme="minorEastAsia"/>
      <w:lang w:val="en" w:eastAsia="ru-RU"/>
    </w:rPr>
  </w:style>
  <w:style w:type="paragraph" w:styleId="ab">
    <w:name w:val="footer"/>
    <w:basedOn w:val="a"/>
    <w:link w:val="ac"/>
    <w:uiPriority w:val="99"/>
    <w:unhideWhenUsed/>
    <w:rsid w:val="006D308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D3082"/>
    <w:rPr>
      <w:rFonts w:eastAsiaTheme="minorEastAsia"/>
      <w:lang w:val="en" w:eastAsia="ru-RU"/>
    </w:rPr>
  </w:style>
  <w:style w:type="paragraph" w:styleId="ad">
    <w:name w:val="Normal (Web)"/>
    <w:basedOn w:val="a"/>
    <w:uiPriority w:val="99"/>
    <w:semiHidden/>
    <w:unhideWhenUsed/>
    <w:rsid w:val="004D355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4D355B"/>
    <w:rPr>
      <w:b/>
      <w:bCs/>
    </w:rPr>
  </w:style>
  <w:style w:type="character" w:customStyle="1" w:styleId="10">
    <w:name w:val="Заголовок 1 Знак"/>
    <w:basedOn w:val="a0"/>
    <w:link w:val="1"/>
    <w:uiPriority w:val="9"/>
    <w:rsid w:val="00FB6181"/>
    <w:rPr>
      <w:rFonts w:ascii="Times New Roman" w:eastAsia="Times New Roman" w:hAnsi="Times New Roman" w:cs="Times New Roman"/>
      <w:b/>
      <w:bCs/>
      <w:kern w:val="36"/>
      <w:sz w:val="48"/>
      <w:szCs w:val="48"/>
      <w:lang w:val="en" w:eastAsia="ru-RU"/>
    </w:rPr>
  </w:style>
  <w:style w:type="character" w:customStyle="1" w:styleId="20">
    <w:name w:val="Заголовок 2 Знак"/>
    <w:basedOn w:val="a0"/>
    <w:link w:val="2"/>
    <w:uiPriority w:val="9"/>
    <w:rsid w:val="00202B9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202B97"/>
    <w:rPr>
      <w:rFonts w:asciiTheme="majorHAnsi" w:eastAsiaTheme="majorEastAsia" w:hAnsiTheme="majorHAnsi" w:cstheme="majorBidi"/>
      <w:color w:val="243F60" w:themeColor="accent1" w:themeShade="7F"/>
      <w:sz w:val="24"/>
      <w:szCs w:val="24"/>
    </w:rPr>
  </w:style>
  <w:style w:type="character" w:styleId="af">
    <w:name w:val="annotation reference"/>
    <w:basedOn w:val="a0"/>
    <w:uiPriority w:val="99"/>
    <w:semiHidden/>
    <w:unhideWhenUsed/>
    <w:rsid w:val="00496FD2"/>
    <w:rPr>
      <w:sz w:val="16"/>
      <w:szCs w:val="16"/>
    </w:rPr>
  </w:style>
  <w:style w:type="paragraph" w:styleId="af0">
    <w:name w:val="annotation text"/>
    <w:basedOn w:val="a"/>
    <w:link w:val="af1"/>
    <w:uiPriority w:val="99"/>
    <w:semiHidden/>
    <w:unhideWhenUsed/>
    <w:rsid w:val="00496FD2"/>
    <w:pPr>
      <w:spacing w:line="240" w:lineRule="auto"/>
    </w:pPr>
    <w:rPr>
      <w:sz w:val="20"/>
      <w:szCs w:val="20"/>
    </w:rPr>
  </w:style>
  <w:style w:type="character" w:customStyle="1" w:styleId="af1">
    <w:name w:val="Текст примечания Знак"/>
    <w:basedOn w:val="a0"/>
    <w:link w:val="af0"/>
    <w:uiPriority w:val="99"/>
    <w:semiHidden/>
    <w:rsid w:val="00496FD2"/>
    <w:rPr>
      <w:rFonts w:eastAsiaTheme="minorEastAsia"/>
      <w:sz w:val="20"/>
      <w:szCs w:val="20"/>
      <w:lang w:val="en" w:eastAsia="ru-RU"/>
    </w:rPr>
  </w:style>
  <w:style w:type="paragraph" w:styleId="af2">
    <w:name w:val="annotation subject"/>
    <w:basedOn w:val="af0"/>
    <w:next w:val="af0"/>
    <w:link w:val="af3"/>
    <w:uiPriority w:val="99"/>
    <w:semiHidden/>
    <w:unhideWhenUsed/>
    <w:rsid w:val="00496FD2"/>
    <w:rPr>
      <w:b/>
      <w:bCs/>
    </w:rPr>
  </w:style>
  <w:style w:type="character" w:customStyle="1" w:styleId="af3">
    <w:name w:val="Тема примечания Знак"/>
    <w:basedOn w:val="af1"/>
    <w:link w:val="af2"/>
    <w:uiPriority w:val="99"/>
    <w:semiHidden/>
    <w:rsid w:val="00496FD2"/>
    <w:rPr>
      <w:rFonts w:eastAsiaTheme="minorEastAsia"/>
      <w:b/>
      <w:bCs/>
      <w:sz w:val="20"/>
      <w:szCs w:val="20"/>
      <w:lang w:val="en" w:eastAsia="ru-RU"/>
    </w:rPr>
  </w:style>
  <w:style w:type="paragraph" w:styleId="af4">
    <w:name w:val="Balloon Text"/>
    <w:basedOn w:val="a"/>
    <w:link w:val="af5"/>
    <w:uiPriority w:val="99"/>
    <w:semiHidden/>
    <w:unhideWhenUsed/>
    <w:rsid w:val="00496FD2"/>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496FD2"/>
    <w:rPr>
      <w:rFonts w:ascii="Segoe UI" w:eastAsiaTheme="minorEastAsia" w:hAnsi="Segoe UI" w:cs="Segoe UI"/>
      <w:sz w:val="18"/>
      <w:szCs w:val="18"/>
      <w:lang w:val="en" w:eastAsia="ru-RU"/>
    </w:rPr>
  </w:style>
  <w:style w:type="character" w:customStyle="1" w:styleId="40">
    <w:name w:val="Заголовок 4 Знак"/>
    <w:basedOn w:val="a0"/>
    <w:link w:val="4"/>
    <w:uiPriority w:val="9"/>
    <w:semiHidden/>
    <w:rsid w:val="00120DE0"/>
    <w:rPr>
      <w:rFonts w:asciiTheme="majorHAnsi" w:eastAsiaTheme="majorEastAsia" w:hAnsiTheme="majorHAnsi" w:cstheme="majorBidi"/>
      <w:i/>
      <w:iCs/>
      <w:color w:val="365F91" w:themeColor="accent1" w:themeShade="BF"/>
      <w:lang w:val="en" w:eastAsia="ru-RU"/>
    </w:rPr>
  </w:style>
  <w:style w:type="character" w:customStyle="1" w:styleId="21">
    <w:name w:val="Неразрешенное упоминание2"/>
    <w:basedOn w:val="a0"/>
    <w:uiPriority w:val="99"/>
    <w:semiHidden/>
    <w:unhideWhenUsed/>
    <w:rsid w:val="00F40793"/>
    <w:rPr>
      <w:color w:val="605E5C"/>
      <w:shd w:val="clear" w:color="auto" w:fill="E1DFDD"/>
    </w:rPr>
  </w:style>
  <w:style w:type="character" w:customStyle="1" w:styleId="50">
    <w:name w:val="Заголовок 5 Знак"/>
    <w:basedOn w:val="a0"/>
    <w:link w:val="5"/>
    <w:uiPriority w:val="9"/>
    <w:semiHidden/>
    <w:rsid w:val="00F40793"/>
    <w:rPr>
      <w:rFonts w:asciiTheme="majorHAnsi" w:eastAsiaTheme="majorEastAsia" w:hAnsiTheme="majorHAnsi" w:cstheme="majorBidi"/>
      <w:color w:val="365F91" w:themeColor="accent1" w:themeShade="BF"/>
      <w:lang w:val="en" w:eastAsia="ru-RU"/>
    </w:rPr>
  </w:style>
  <w:style w:type="paragraph" w:customStyle="1" w:styleId="mbr-text">
    <w:name w:val="mbr-text"/>
    <w:basedOn w:val="a"/>
    <w:rsid w:val="00F40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a0"/>
    <w:rsid w:val="00330258"/>
  </w:style>
  <w:style w:type="table" w:customStyle="1" w:styleId="51">
    <w:name w:val="Таблица простая 51"/>
    <w:basedOn w:val="a1"/>
    <w:uiPriority w:val="45"/>
    <w:rsid w:val="000F512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uitypography-root">
    <w:name w:val="muitypography-root"/>
    <w:basedOn w:val="a"/>
    <w:rsid w:val="00284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footer">
    <w:name w:val="title-footer"/>
    <w:basedOn w:val="a"/>
    <w:rsid w:val="00586781"/>
    <w:pPr>
      <w:spacing w:before="100" w:beforeAutospacing="1" w:after="100" w:afterAutospacing="1" w:line="240" w:lineRule="auto"/>
    </w:pPr>
    <w:rPr>
      <w:rFonts w:ascii="Times New Roman" w:eastAsia="Times New Roman" w:hAnsi="Times New Roman" w:cs="Times New Roman"/>
      <w:sz w:val="24"/>
      <w:szCs w:val="24"/>
    </w:rPr>
  </w:style>
  <w:style w:type="table" w:styleId="-15">
    <w:name w:val="Grid Table 1 Light Accent 5"/>
    <w:basedOn w:val="a1"/>
    <w:uiPriority w:val="46"/>
    <w:rsid w:val="0040065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q4iawc">
    <w:name w:val="q4iawc"/>
    <w:basedOn w:val="a0"/>
    <w:rsid w:val="00781C2C"/>
  </w:style>
  <w:style w:type="character" w:customStyle="1" w:styleId="w8qarf">
    <w:name w:val="w8qarf"/>
    <w:basedOn w:val="a0"/>
    <w:rsid w:val="004E3187"/>
  </w:style>
  <w:style w:type="character" w:customStyle="1" w:styleId="etvozd">
    <w:name w:val="etvozd"/>
    <w:basedOn w:val="a0"/>
    <w:rsid w:val="004E3187"/>
  </w:style>
  <w:style w:type="character" w:customStyle="1" w:styleId="lrzxr">
    <w:name w:val="lrzxr"/>
    <w:basedOn w:val="a0"/>
    <w:rsid w:val="004E3187"/>
  </w:style>
  <w:style w:type="character" w:customStyle="1" w:styleId="wtoffscreen">
    <w:name w:val="wtoffscreen"/>
    <w:basedOn w:val="a0"/>
    <w:rsid w:val="00F00639"/>
  </w:style>
  <w:style w:type="character" w:styleId="af6">
    <w:name w:val="FollowedHyperlink"/>
    <w:basedOn w:val="a0"/>
    <w:uiPriority w:val="99"/>
    <w:semiHidden/>
    <w:unhideWhenUsed/>
    <w:rsid w:val="00FF1F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8219">
      <w:bodyDiv w:val="1"/>
      <w:marLeft w:val="0"/>
      <w:marRight w:val="0"/>
      <w:marTop w:val="0"/>
      <w:marBottom w:val="0"/>
      <w:divBdr>
        <w:top w:val="none" w:sz="0" w:space="0" w:color="auto"/>
        <w:left w:val="none" w:sz="0" w:space="0" w:color="auto"/>
        <w:bottom w:val="none" w:sz="0" w:space="0" w:color="auto"/>
        <w:right w:val="none" w:sz="0" w:space="0" w:color="auto"/>
      </w:divBdr>
    </w:div>
    <w:div w:id="888691279">
      <w:bodyDiv w:val="1"/>
      <w:marLeft w:val="0"/>
      <w:marRight w:val="0"/>
      <w:marTop w:val="0"/>
      <w:marBottom w:val="0"/>
      <w:divBdr>
        <w:top w:val="none" w:sz="0" w:space="0" w:color="auto"/>
        <w:left w:val="none" w:sz="0" w:space="0" w:color="auto"/>
        <w:bottom w:val="none" w:sz="0" w:space="0" w:color="auto"/>
        <w:right w:val="none" w:sz="0" w:space="0" w:color="auto"/>
      </w:divBdr>
    </w:div>
    <w:div w:id="1048989638">
      <w:bodyDiv w:val="1"/>
      <w:marLeft w:val="0"/>
      <w:marRight w:val="0"/>
      <w:marTop w:val="0"/>
      <w:marBottom w:val="0"/>
      <w:divBdr>
        <w:top w:val="none" w:sz="0" w:space="0" w:color="auto"/>
        <w:left w:val="none" w:sz="0" w:space="0" w:color="auto"/>
        <w:bottom w:val="none" w:sz="0" w:space="0" w:color="auto"/>
        <w:right w:val="none" w:sz="0" w:space="0" w:color="auto"/>
      </w:divBdr>
    </w:div>
    <w:div w:id="1056316042">
      <w:bodyDiv w:val="1"/>
      <w:marLeft w:val="0"/>
      <w:marRight w:val="0"/>
      <w:marTop w:val="0"/>
      <w:marBottom w:val="0"/>
      <w:divBdr>
        <w:top w:val="none" w:sz="0" w:space="0" w:color="auto"/>
        <w:left w:val="none" w:sz="0" w:space="0" w:color="auto"/>
        <w:bottom w:val="none" w:sz="0" w:space="0" w:color="auto"/>
        <w:right w:val="none" w:sz="0" w:space="0" w:color="auto"/>
      </w:divBdr>
    </w:div>
    <w:div w:id="1317146348">
      <w:bodyDiv w:val="1"/>
      <w:marLeft w:val="0"/>
      <w:marRight w:val="0"/>
      <w:marTop w:val="0"/>
      <w:marBottom w:val="0"/>
      <w:divBdr>
        <w:top w:val="none" w:sz="0" w:space="0" w:color="auto"/>
        <w:left w:val="none" w:sz="0" w:space="0" w:color="auto"/>
        <w:bottom w:val="none" w:sz="0" w:space="0" w:color="auto"/>
        <w:right w:val="none" w:sz="0" w:space="0" w:color="auto"/>
      </w:divBdr>
    </w:div>
    <w:div w:id="1397900610">
      <w:bodyDiv w:val="1"/>
      <w:marLeft w:val="0"/>
      <w:marRight w:val="0"/>
      <w:marTop w:val="0"/>
      <w:marBottom w:val="0"/>
      <w:divBdr>
        <w:top w:val="none" w:sz="0" w:space="0" w:color="auto"/>
        <w:left w:val="none" w:sz="0" w:space="0" w:color="auto"/>
        <w:bottom w:val="none" w:sz="0" w:space="0" w:color="auto"/>
        <w:right w:val="none" w:sz="0" w:space="0" w:color="auto"/>
      </w:divBdr>
    </w:div>
    <w:div w:id="1397969252">
      <w:bodyDiv w:val="1"/>
      <w:marLeft w:val="0"/>
      <w:marRight w:val="0"/>
      <w:marTop w:val="0"/>
      <w:marBottom w:val="0"/>
      <w:divBdr>
        <w:top w:val="none" w:sz="0" w:space="0" w:color="auto"/>
        <w:left w:val="none" w:sz="0" w:space="0" w:color="auto"/>
        <w:bottom w:val="none" w:sz="0" w:space="0" w:color="auto"/>
        <w:right w:val="none" w:sz="0" w:space="0" w:color="auto"/>
      </w:divBdr>
    </w:div>
    <w:div w:id="1490975002">
      <w:bodyDiv w:val="1"/>
      <w:marLeft w:val="0"/>
      <w:marRight w:val="0"/>
      <w:marTop w:val="0"/>
      <w:marBottom w:val="0"/>
      <w:divBdr>
        <w:top w:val="none" w:sz="0" w:space="0" w:color="auto"/>
        <w:left w:val="none" w:sz="0" w:space="0" w:color="auto"/>
        <w:bottom w:val="none" w:sz="0" w:space="0" w:color="auto"/>
        <w:right w:val="none" w:sz="0" w:space="0" w:color="auto"/>
      </w:divBdr>
    </w:div>
    <w:div w:id="1523862992">
      <w:bodyDiv w:val="1"/>
      <w:marLeft w:val="0"/>
      <w:marRight w:val="0"/>
      <w:marTop w:val="0"/>
      <w:marBottom w:val="0"/>
      <w:divBdr>
        <w:top w:val="none" w:sz="0" w:space="0" w:color="auto"/>
        <w:left w:val="none" w:sz="0" w:space="0" w:color="auto"/>
        <w:bottom w:val="none" w:sz="0" w:space="0" w:color="auto"/>
        <w:right w:val="none" w:sz="0" w:space="0" w:color="auto"/>
      </w:divBdr>
    </w:div>
    <w:div w:id="1587960600">
      <w:bodyDiv w:val="1"/>
      <w:marLeft w:val="0"/>
      <w:marRight w:val="0"/>
      <w:marTop w:val="0"/>
      <w:marBottom w:val="0"/>
      <w:divBdr>
        <w:top w:val="none" w:sz="0" w:space="0" w:color="auto"/>
        <w:left w:val="none" w:sz="0" w:space="0" w:color="auto"/>
        <w:bottom w:val="none" w:sz="0" w:space="0" w:color="auto"/>
        <w:right w:val="none" w:sz="0" w:space="0" w:color="auto"/>
      </w:divBdr>
    </w:div>
    <w:div w:id="1759709929">
      <w:bodyDiv w:val="1"/>
      <w:marLeft w:val="0"/>
      <w:marRight w:val="0"/>
      <w:marTop w:val="0"/>
      <w:marBottom w:val="0"/>
      <w:divBdr>
        <w:top w:val="none" w:sz="0" w:space="0" w:color="auto"/>
        <w:left w:val="none" w:sz="0" w:space="0" w:color="auto"/>
        <w:bottom w:val="none" w:sz="0" w:space="0" w:color="auto"/>
        <w:right w:val="none" w:sz="0" w:space="0" w:color="auto"/>
      </w:divBdr>
      <w:divsChild>
        <w:div w:id="2066564933">
          <w:marLeft w:val="0"/>
          <w:marRight w:val="0"/>
          <w:marTop w:val="0"/>
          <w:marBottom w:val="0"/>
          <w:divBdr>
            <w:top w:val="none" w:sz="0" w:space="0" w:color="auto"/>
            <w:left w:val="none" w:sz="0" w:space="0" w:color="auto"/>
            <w:bottom w:val="none" w:sz="0" w:space="0" w:color="auto"/>
            <w:right w:val="none" w:sz="0" w:space="0" w:color="auto"/>
          </w:divBdr>
          <w:divsChild>
            <w:div w:id="713046634">
              <w:marLeft w:val="0"/>
              <w:marRight w:val="0"/>
              <w:marTop w:val="0"/>
              <w:marBottom w:val="0"/>
              <w:divBdr>
                <w:top w:val="none" w:sz="0" w:space="0" w:color="auto"/>
                <w:left w:val="none" w:sz="0" w:space="0" w:color="auto"/>
                <w:bottom w:val="none" w:sz="0" w:space="0" w:color="auto"/>
                <w:right w:val="none" w:sz="0" w:space="0" w:color="auto"/>
              </w:divBdr>
              <w:divsChild>
                <w:div w:id="1584073546">
                  <w:marLeft w:val="0"/>
                  <w:marRight w:val="0"/>
                  <w:marTop w:val="0"/>
                  <w:marBottom w:val="0"/>
                  <w:divBdr>
                    <w:top w:val="none" w:sz="0" w:space="0" w:color="auto"/>
                    <w:left w:val="none" w:sz="0" w:space="0" w:color="auto"/>
                    <w:bottom w:val="none" w:sz="0" w:space="0" w:color="auto"/>
                    <w:right w:val="none" w:sz="0" w:space="0" w:color="auto"/>
                  </w:divBdr>
                  <w:divsChild>
                    <w:div w:id="20252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498471">
          <w:marLeft w:val="0"/>
          <w:marRight w:val="0"/>
          <w:marTop w:val="0"/>
          <w:marBottom w:val="0"/>
          <w:divBdr>
            <w:top w:val="none" w:sz="0" w:space="0" w:color="auto"/>
            <w:left w:val="none" w:sz="0" w:space="0" w:color="auto"/>
            <w:bottom w:val="none" w:sz="0" w:space="0" w:color="auto"/>
            <w:right w:val="none" w:sz="0" w:space="0" w:color="auto"/>
          </w:divBdr>
          <w:divsChild>
            <w:div w:id="1091664339">
              <w:marLeft w:val="0"/>
              <w:marRight w:val="0"/>
              <w:marTop w:val="0"/>
              <w:marBottom w:val="0"/>
              <w:divBdr>
                <w:top w:val="none" w:sz="0" w:space="0" w:color="auto"/>
                <w:left w:val="none" w:sz="0" w:space="0" w:color="auto"/>
                <w:bottom w:val="none" w:sz="0" w:space="0" w:color="auto"/>
                <w:right w:val="none" w:sz="0" w:space="0" w:color="auto"/>
              </w:divBdr>
              <w:divsChild>
                <w:div w:id="421726350">
                  <w:marLeft w:val="0"/>
                  <w:marRight w:val="0"/>
                  <w:marTop w:val="0"/>
                  <w:marBottom w:val="0"/>
                  <w:divBdr>
                    <w:top w:val="none" w:sz="0" w:space="0" w:color="auto"/>
                    <w:left w:val="none" w:sz="0" w:space="0" w:color="auto"/>
                    <w:bottom w:val="none" w:sz="0" w:space="0" w:color="auto"/>
                    <w:right w:val="none" w:sz="0" w:space="0" w:color="auto"/>
                  </w:divBdr>
                  <w:divsChild>
                    <w:div w:id="1080831980">
                      <w:marLeft w:val="0"/>
                      <w:marRight w:val="0"/>
                      <w:marTop w:val="0"/>
                      <w:marBottom w:val="0"/>
                      <w:divBdr>
                        <w:top w:val="none" w:sz="0" w:space="0" w:color="auto"/>
                        <w:left w:val="none" w:sz="0" w:space="0" w:color="auto"/>
                        <w:bottom w:val="none" w:sz="0" w:space="0" w:color="auto"/>
                        <w:right w:val="none" w:sz="0" w:space="0" w:color="auto"/>
                      </w:divBdr>
                      <w:divsChild>
                        <w:div w:id="1200628109">
                          <w:marLeft w:val="0"/>
                          <w:marRight w:val="0"/>
                          <w:marTop w:val="0"/>
                          <w:marBottom w:val="0"/>
                          <w:divBdr>
                            <w:top w:val="none" w:sz="0" w:space="0" w:color="auto"/>
                            <w:left w:val="none" w:sz="0" w:space="0" w:color="auto"/>
                            <w:bottom w:val="none" w:sz="0" w:space="0" w:color="auto"/>
                            <w:right w:val="none" w:sz="0" w:space="0" w:color="auto"/>
                          </w:divBdr>
                          <w:divsChild>
                            <w:div w:id="10432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183796">
      <w:bodyDiv w:val="1"/>
      <w:marLeft w:val="0"/>
      <w:marRight w:val="0"/>
      <w:marTop w:val="0"/>
      <w:marBottom w:val="0"/>
      <w:divBdr>
        <w:top w:val="none" w:sz="0" w:space="0" w:color="auto"/>
        <w:left w:val="none" w:sz="0" w:space="0" w:color="auto"/>
        <w:bottom w:val="none" w:sz="0" w:space="0" w:color="auto"/>
        <w:right w:val="none" w:sz="0" w:space="0" w:color="auto"/>
      </w:divBdr>
    </w:div>
    <w:div w:id="1878856425">
      <w:bodyDiv w:val="1"/>
      <w:marLeft w:val="0"/>
      <w:marRight w:val="0"/>
      <w:marTop w:val="0"/>
      <w:marBottom w:val="0"/>
      <w:divBdr>
        <w:top w:val="none" w:sz="0" w:space="0" w:color="auto"/>
        <w:left w:val="none" w:sz="0" w:space="0" w:color="auto"/>
        <w:bottom w:val="none" w:sz="0" w:space="0" w:color="auto"/>
        <w:right w:val="none" w:sz="0" w:space="0" w:color="auto"/>
      </w:divBdr>
      <w:divsChild>
        <w:div w:id="1212811625">
          <w:marLeft w:val="0"/>
          <w:marRight w:val="0"/>
          <w:marTop w:val="0"/>
          <w:marBottom w:val="0"/>
          <w:divBdr>
            <w:top w:val="none" w:sz="0" w:space="0" w:color="auto"/>
            <w:left w:val="none" w:sz="0" w:space="0" w:color="auto"/>
            <w:bottom w:val="none" w:sz="0" w:space="0" w:color="auto"/>
            <w:right w:val="none" w:sz="0" w:space="0" w:color="auto"/>
          </w:divBdr>
        </w:div>
        <w:div w:id="1336032563">
          <w:marLeft w:val="0"/>
          <w:marRight w:val="0"/>
          <w:marTop w:val="0"/>
          <w:marBottom w:val="0"/>
          <w:divBdr>
            <w:top w:val="none" w:sz="0" w:space="0" w:color="auto"/>
            <w:left w:val="none" w:sz="0" w:space="0" w:color="auto"/>
            <w:bottom w:val="none" w:sz="0" w:space="0" w:color="auto"/>
            <w:right w:val="none" w:sz="0" w:space="0" w:color="auto"/>
          </w:divBdr>
        </w:div>
      </w:divsChild>
    </w:div>
    <w:div w:id="1984460890">
      <w:bodyDiv w:val="1"/>
      <w:marLeft w:val="0"/>
      <w:marRight w:val="0"/>
      <w:marTop w:val="0"/>
      <w:marBottom w:val="0"/>
      <w:divBdr>
        <w:top w:val="none" w:sz="0" w:space="0" w:color="auto"/>
        <w:left w:val="none" w:sz="0" w:space="0" w:color="auto"/>
        <w:bottom w:val="none" w:sz="0" w:space="0" w:color="auto"/>
        <w:right w:val="none" w:sz="0" w:space="0" w:color="auto"/>
      </w:divBdr>
    </w:div>
    <w:div w:id="199976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5CUsers%5Cvojejas%5CAppData%5CRoaming%5CMicrosoft%5CWord%5C%E2%80%A2%09Council%20Directive%20(EU)%202017%5C1852%20of%2010%20October%202017%20on%20tax%20dispute%20resolution%20mechanisms%20in%20the%20European%20Union/" TargetMode="External"/><Relationship Id="rId18" Type="http://schemas.openxmlformats.org/officeDocument/2006/relationships/hyperlink" Target="https://eur-lex.europa.eu/legal-content/EN/TXT/?uri=CELLAR%3Aa3fa90c1-675c-11e9-9f05-01aa75ed71a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emperilogistics.bg@gmail.com" TargetMode="External"/><Relationship Id="rId17" Type="http://schemas.openxmlformats.org/officeDocument/2006/relationships/hyperlink" Target="http://eur-lex.europa.eu/eli/dir/2017/1852/oj" TargetMode="External"/><Relationship Id="rId2" Type="http://schemas.openxmlformats.org/officeDocument/2006/relationships/numbering" Target="numbering.xml"/><Relationship Id="rId16" Type="http://schemas.openxmlformats.org/officeDocument/2006/relationships/hyperlink" Target="https://eur-lex.europa.eu/legal-content/EN/TXT/?uri=CELLAR%3Aa3fa90c1-675c-11e9-9f05-01aa75ed71a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mperi-logistic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EN/TXT/?uri=CELLAR%3Aa3fa90c1-675c-11e9-9f05-01aa75ed71a1"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taxation-customs.ec.europa.eu/document/download/23259732-a2f5-4f2d-8f20-0ea3bf9d5493_en?filename=com_2016_686_en.pdf"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eur-lex.europa.eu/legal-content/EN/TXT/?uri=CELLAR%3Aa3fa90c1-675c-11e9-9f05-01aa75ed71a1"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5ACFB-0AA6-4D9C-ADFC-DDFC956C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dc:creator>
  <cp:lastModifiedBy>Trosyn Alexander</cp:lastModifiedBy>
  <cp:revision>10</cp:revision>
  <cp:lastPrinted>2020-06-18T08:00:00Z</cp:lastPrinted>
  <dcterms:created xsi:type="dcterms:W3CDTF">2022-10-06T10:51:00Z</dcterms:created>
  <dcterms:modified xsi:type="dcterms:W3CDTF">2022-10-08T09:54:00Z</dcterms:modified>
</cp:coreProperties>
</file>